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CC" w:rsidRDefault="00A778CC" w:rsidP="00A778CC">
      <w:pPr>
        <w:pStyle w:val="BodyText"/>
        <w:spacing w:before="10"/>
        <w:rPr>
          <w:rFonts w:ascii="Times New Roman"/>
          <w:sz w:val="28"/>
        </w:rPr>
      </w:pPr>
    </w:p>
    <w:p w:rsidR="00A778CC" w:rsidRDefault="00891010" w:rsidP="00A778CC">
      <w:pPr>
        <w:spacing w:before="100"/>
        <w:ind w:left="2933" w:right="2496" w:hanging="421"/>
        <w:rPr>
          <w:b/>
          <w:sz w:val="36"/>
        </w:rPr>
      </w:pPr>
      <w:r>
        <w:rPr>
          <w:rFonts w:ascii="Times New Roman"/>
          <w:noProof/>
          <w:sz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124460</wp:posOffset>
            </wp:positionV>
            <wp:extent cx="1942943" cy="1831371"/>
            <wp:effectExtent l="0" t="0" r="6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2943" cy="1831371"/>
                    </a:xfrm>
                    <a:prstGeom prst="rect">
                      <a:avLst/>
                    </a:prstGeom>
                  </pic:spPr>
                </pic:pic>
              </a:graphicData>
            </a:graphic>
          </wp:anchor>
        </w:drawing>
      </w:r>
    </w:p>
    <w:p w:rsidR="00A778CC" w:rsidRDefault="00A778CC" w:rsidP="00A778CC">
      <w:pPr>
        <w:spacing w:before="100"/>
        <w:ind w:left="2933" w:right="2496" w:hanging="421"/>
        <w:rPr>
          <w:b/>
          <w:sz w:val="36"/>
        </w:rPr>
      </w:pPr>
    </w:p>
    <w:p w:rsidR="00A778CC" w:rsidRDefault="00A778CC" w:rsidP="00A778CC">
      <w:pPr>
        <w:spacing w:before="100"/>
        <w:ind w:left="2933" w:right="2496" w:hanging="421"/>
        <w:rPr>
          <w:b/>
          <w:sz w:val="36"/>
        </w:rPr>
      </w:pPr>
    </w:p>
    <w:p w:rsidR="00A778CC" w:rsidRDefault="00A778CC" w:rsidP="00A778CC">
      <w:pPr>
        <w:spacing w:before="100"/>
        <w:ind w:left="2933" w:right="2496" w:hanging="421"/>
        <w:rPr>
          <w:b/>
          <w:sz w:val="36"/>
        </w:rPr>
      </w:pPr>
      <w:bookmarkStart w:id="0" w:name="_GoBack"/>
      <w:bookmarkEnd w:id="0"/>
    </w:p>
    <w:p w:rsidR="00A778CC" w:rsidRDefault="00A778CC" w:rsidP="00A778CC">
      <w:pPr>
        <w:spacing w:before="100"/>
        <w:ind w:left="2933" w:right="2496" w:hanging="421"/>
        <w:rPr>
          <w:b/>
          <w:sz w:val="36"/>
        </w:rPr>
      </w:pPr>
    </w:p>
    <w:p w:rsidR="00A778CC" w:rsidRDefault="00A778CC" w:rsidP="00A778CC">
      <w:pPr>
        <w:spacing w:before="100"/>
        <w:ind w:left="2933" w:right="2496" w:hanging="421"/>
        <w:rPr>
          <w:b/>
          <w:sz w:val="36"/>
        </w:rPr>
      </w:pPr>
    </w:p>
    <w:p w:rsidR="00A778CC" w:rsidRDefault="00A778CC" w:rsidP="00A778CC">
      <w:pPr>
        <w:spacing w:before="100"/>
        <w:ind w:left="2933" w:right="2496" w:hanging="421"/>
        <w:rPr>
          <w:b/>
          <w:sz w:val="36"/>
        </w:rPr>
      </w:pPr>
    </w:p>
    <w:p w:rsidR="00891010" w:rsidRDefault="00A778CC" w:rsidP="00891010">
      <w:pPr>
        <w:spacing w:before="100"/>
        <w:ind w:left="2933" w:right="2496" w:hanging="421"/>
        <w:jc w:val="center"/>
        <w:rPr>
          <w:b/>
          <w:sz w:val="36"/>
        </w:rPr>
      </w:pPr>
      <w:r>
        <w:rPr>
          <w:b/>
          <w:sz w:val="36"/>
        </w:rPr>
        <w:t>St Ignatius Primary School</w:t>
      </w:r>
    </w:p>
    <w:p w:rsidR="00A778CC" w:rsidRDefault="00891010" w:rsidP="00891010">
      <w:pPr>
        <w:spacing w:before="100"/>
        <w:ind w:left="1792" w:right="2496" w:firstLine="368"/>
        <w:jc w:val="center"/>
        <w:rPr>
          <w:b/>
          <w:sz w:val="36"/>
        </w:rPr>
      </w:pPr>
      <w:r>
        <w:rPr>
          <w:b/>
          <w:sz w:val="36"/>
        </w:rPr>
        <w:t xml:space="preserve">    </w:t>
      </w:r>
      <w:r w:rsidR="00A778CC">
        <w:rPr>
          <w:b/>
          <w:sz w:val="36"/>
        </w:rPr>
        <w:t xml:space="preserve">Employee </w:t>
      </w:r>
      <w:r>
        <w:rPr>
          <w:b/>
          <w:sz w:val="36"/>
        </w:rPr>
        <w:t>Privacy Notice</w:t>
      </w:r>
    </w:p>
    <w:p w:rsidR="00891010" w:rsidRDefault="00891010" w:rsidP="00891010">
      <w:pPr>
        <w:spacing w:before="100"/>
        <w:ind w:left="1792" w:right="2496" w:firstLine="368"/>
        <w:jc w:val="center"/>
        <w:rPr>
          <w:b/>
          <w:sz w:val="36"/>
        </w:rPr>
      </w:pPr>
    </w:p>
    <w:p w:rsidR="00891010" w:rsidRDefault="00891010" w:rsidP="00891010">
      <w:pPr>
        <w:spacing w:before="100"/>
        <w:ind w:left="1792" w:right="2496" w:firstLine="368"/>
        <w:jc w:val="center"/>
        <w:rPr>
          <w:b/>
          <w:sz w:val="3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4"/>
      </w:tblGrid>
      <w:tr w:rsidR="00891010" w:rsidTr="00925ABE">
        <w:trPr>
          <w:trHeight w:val="1029"/>
        </w:trPr>
        <w:tc>
          <w:tcPr>
            <w:tcW w:w="4621" w:type="dxa"/>
            <w:tcBorders>
              <w:left w:val="single" w:sz="6" w:space="0" w:color="000000"/>
            </w:tcBorders>
          </w:tcPr>
          <w:p w:rsidR="00891010" w:rsidRDefault="00891010" w:rsidP="00925ABE">
            <w:pPr>
              <w:pStyle w:val="TableParagraph"/>
              <w:spacing w:before="3"/>
              <w:rPr>
                <w:b/>
                <w:sz w:val="28"/>
              </w:rPr>
            </w:pPr>
            <w:bookmarkStart w:id="1" w:name="_Hlk5025833"/>
          </w:p>
          <w:p w:rsidR="00891010" w:rsidRDefault="00891010" w:rsidP="00925ABE">
            <w:pPr>
              <w:pStyle w:val="TableParagraph"/>
              <w:ind w:left="255" w:right="250"/>
              <w:jc w:val="center"/>
              <w:rPr>
                <w:sz w:val="28"/>
              </w:rPr>
            </w:pPr>
            <w:r>
              <w:rPr>
                <w:sz w:val="28"/>
              </w:rPr>
              <w:t>Policy Originator</w:t>
            </w:r>
          </w:p>
        </w:tc>
        <w:tc>
          <w:tcPr>
            <w:tcW w:w="4624" w:type="dxa"/>
          </w:tcPr>
          <w:p w:rsidR="00891010" w:rsidRDefault="00891010" w:rsidP="00925ABE">
            <w:pPr>
              <w:pStyle w:val="TableParagraph"/>
              <w:spacing w:before="3"/>
              <w:rPr>
                <w:b/>
                <w:sz w:val="28"/>
              </w:rPr>
            </w:pPr>
          </w:p>
          <w:p w:rsidR="00891010" w:rsidRDefault="00891010" w:rsidP="00925ABE">
            <w:pPr>
              <w:pStyle w:val="TableParagraph"/>
              <w:ind w:left="577" w:right="578"/>
              <w:jc w:val="center"/>
              <w:rPr>
                <w:sz w:val="28"/>
              </w:rPr>
            </w:pPr>
            <w:r>
              <w:rPr>
                <w:sz w:val="28"/>
              </w:rPr>
              <w:t>St Ignatius Primary School</w:t>
            </w:r>
          </w:p>
        </w:tc>
      </w:tr>
      <w:tr w:rsidR="00891010" w:rsidTr="00925ABE">
        <w:trPr>
          <w:trHeight w:val="1029"/>
        </w:trPr>
        <w:tc>
          <w:tcPr>
            <w:tcW w:w="4621" w:type="dxa"/>
            <w:tcBorders>
              <w:left w:val="single" w:sz="6" w:space="0" w:color="000000"/>
            </w:tcBorders>
          </w:tcPr>
          <w:p w:rsidR="00891010" w:rsidRDefault="00891010" w:rsidP="00925ABE">
            <w:pPr>
              <w:pStyle w:val="TableParagraph"/>
              <w:spacing w:before="3"/>
              <w:rPr>
                <w:b/>
                <w:sz w:val="28"/>
              </w:rPr>
            </w:pPr>
          </w:p>
          <w:p w:rsidR="00891010" w:rsidRDefault="00891010" w:rsidP="00925ABE">
            <w:pPr>
              <w:pStyle w:val="TableParagraph"/>
              <w:ind w:left="258" w:right="250"/>
              <w:jc w:val="center"/>
              <w:rPr>
                <w:sz w:val="28"/>
              </w:rPr>
            </w:pPr>
            <w:r>
              <w:rPr>
                <w:sz w:val="28"/>
              </w:rPr>
              <w:t>Person /Governor Responsible</w:t>
            </w:r>
          </w:p>
        </w:tc>
        <w:tc>
          <w:tcPr>
            <w:tcW w:w="4624" w:type="dxa"/>
          </w:tcPr>
          <w:p w:rsidR="00891010" w:rsidRDefault="00891010" w:rsidP="00925ABE">
            <w:pPr>
              <w:pStyle w:val="TableParagraph"/>
              <w:rPr>
                <w:rFonts w:ascii="Times New Roman"/>
                <w:sz w:val="28"/>
              </w:rPr>
            </w:pPr>
          </w:p>
          <w:p w:rsidR="00891010" w:rsidRPr="00B41274" w:rsidRDefault="00891010" w:rsidP="00925ABE">
            <w:pPr>
              <w:pStyle w:val="TableParagraph"/>
              <w:jc w:val="center"/>
              <w:rPr>
                <w:sz w:val="28"/>
              </w:rPr>
            </w:pPr>
            <w:r>
              <w:rPr>
                <w:sz w:val="28"/>
              </w:rPr>
              <w:t xml:space="preserve">Lourdes </w:t>
            </w:r>
            <w:proofErr w:type="spellStart"/>
            <w:r>
              <w:rPr>
                <w:sz w:val="28"/>
              </w:rPr>
              <w:t>Keever</w:t>
            </w:r>
            <w:proofErr w:type="spellEnd"/>
          </w:p>
        </w:tc>
      </w:tr>
      <w:tr w:rsidR="00891010" w:rsidTr="00925ABE">
        <w:trPr>
          <w:trHeight w:val="1031"/>
        </w:trPr>
        <w:tc>
          <w:tcPr>
            <w:tcW w:w="4621" w:type="dxa"/>
            <w:tcBorders>
              <w:left w:val="single" w:sz="6" w:space="0" w:color="000000"/>
            </w:tcBorders>
          </w:tcPr>
          <w:p w:rsidR="00891010" w:rsidRDefault="00891010" w:rsidP="00925ABE">
            <w:pPr>
              <w:pStyle w:val="TableParagraph"/>
              <w:spacing w:before="6"/>
              <w:rPr>
                <w:b/>
                <w:sz w:val="28"/>
              </w:rPr>
            </w:pPr>
          </w:p>
          <w:p w:rsidR="00891010" w:rsidRDefault="00891010" w:rsidP="00925ABE">
            <w:pPr>
              <w:pStyle w:val="TableParagraph"/>
              <w:ind w:left="255" w:right="250"/>
              <w:jc w:val="center"/>
              <w:rPr>
                <w:sz w:val="28"/>
              </w:rPr>
            </w:pPr>
            <w:r>
              <w:rPr>
                <w:sz w:val="28"/>
              </w:rPr>
              <w:t>Status</w:t>
            </w:r>
          </w:p>
        </w:tc>
        <w:tc>
          <w:tcPr>
            <w:tcW w:w="4624" w:type="dxa"/>
          </w:tcPr>
          <w:p w:rsidR="00891010" w:rsidRDefault="00891010" w:rsidP="00925ABE">
            <w:pPr>
              <w:pStyle w:val="TableParagraph"/>
              <w:spacing w:before="6"/>
              <w:rPr>
                <w:b/>
                <w:sz w:val="28"/>
              </w:rPr>
            </w:pPr>
          </w:p>
          <w:p w:rsidR="00891010" w:rsidRDefault="00891010" w:rsidP="00925ABE">
            <w:pPr>
              <w:pStyle w:val="TableParagraph"/>
              <w:ind w:left="577" w:right="572"/>
              <w:jc w:val="center"/>
              <w:rPr>
                <w:sz w:val="28"/>
              </w:rPr>
            </w:pPr>
            <w:r>
              <w:rPr>
                <w:sz w:val="28"/>
              </w:rPr>
              <w:t>Statutory</w:t>
            </w:r>
          </w:p>
        </w:tc>
      </w:tr>
      <w:tr w:rsidR="00891010" w:rsidTr="00891010">
        <w:trPr>
          <w:trHeight w:val="1029"/>
        </w:trPr>
        <w:tc>
          <w:tcPr>
            <w:tcW w:w="4621" w:type="dxa"/>
            <w:tcBorders>
              <w:left w:val="single" w:sz="6" w:space="0" w:color="000000"/>
            </w:tcBorders>
          </w:tcPr>
          <w:p w:rsidR="00891010" w:rsidRDefault="00891010" w:rsidP="00925ABE">
            <w:pPr>
              <w:pStyle w:val="TableParagraph"/>
              <w:spacing w:before="3"/>
              <w:rPr>
                <w:b/>
                <w:sz w:val="28"/>
              </w:rPr>
            </w:pPr>
          </w:p>
          <w:p w:rsidR="00891010" w:rsidRDefault="00891010" w:rsidP="00925ABE">
            <w:pPr>
              <w:pStyle w:val="TableParagraph"/>
              <w:ind w:left="257" w:right="250"/>
              <w:jc w:val="center"/>
              <w:rPr>
                <w:sz w:val="28"/>
              </w:rPr>
            </w:pPr>
            <w:r>
              <w:rPr>
                <w:sz w:val="28"/>
              </w:rPr>
              <w:t>Last reviewed</w:t>
            </w:r>
          </w:p>
        </w:tc>
        <w:tc>
          <w:tcPr>
            <w:tcW w:w="4624" w:type="dxa"/>
            <w:vAlign w:val="center"/>
          </w:tcPr>
          <w:p w:rsidR="00891010" w:rsidRDefault="00891010" w:rsidP="00891010">
            <w:pPr>
              <w:pStyle w:val="TableParagraph"/>
              <w:ind w:left="577" w:right="572"/>
              <w:jc w:val="center"/>
              <w:rPr>
                <w:sz w:val="28"/>
              </w:rPr>
            </w:pPr>
            <w:r>
              <w:rPr>
                <w:sz w:val="28"/>
              </w:rPr>
              <w:t>January 2019</w:t>
            </w:r>
          </w:p>
        </w:tc>
      </w:tr>
      <w:tr w:rsidR="00891010" w:rsidTr="00891010">
        <w:trPr>
          <w:trHeight w:val="1029"/>
        </w:trPr>
        <w:tc>
          <w:tcPr>
            <w:tcW w:w="4621" w:type="dxa"/>
            <w:tcBorders>
              <w:left w:val="single" w:sz="6" w:space="0" w:color="000000"/>
            </w:tcBorders>
          </w:tcPr>
          <w:p w:rsidR="00891010" w:rsidRDefault="00891010" w:rsidP="00925ABE">
            <w:pPr>
              <w:pStyle w:val="TableParagraph"/>
              <w:spacing w:before="3"/>
              <w:rPr>
                <w:b/>
                <w:sz w:val="28"/>
              </w:rPr>
            </w:pPr>
          </w:p>
          <w:p w:rsidR="00891010" w:rsidRDefault="00891010" w:rsidP="00925ABE">
            <w:pPr>
              <w:pStyle w:val="TableParagraph"/>
              <w:ind w:left="254" w:right="250"/>
              <w:jc w:val="center"/>
              <w:rPr>
                <w:sz w:val="28"/>
              </w:rPr>
            </w:pPr>
            <w:r>
              <w:rPr>
                <w:sz w:val="28"/>
              </w:rPr>
              <w:t>Ratified on</w:t>
            </w:r>
          </w:p>
        </w:tc>
        <w:tc>
          <w:tcPr>
            <w:tcW w:w="4624" w:type="dxa"/>
            <w:vAlign w:val="center"/>
          </w:tcPr>
          <w:p w:rsidR="00891010" w:rsidRDefault="00891010" w:rsidP="00891010">
            <w:pPr>
              <w:pStyle w:val="TableParagraph"/>
              <w:jc w:val="center"/>
              <w:rPr>
                <w:rFonts w:ascii="Times New Roman"/>
                <w:sz w:val="28"/>
              </w:rPr>
            </w:pPr>
          </w:p>
        </w:tc>
      </w:tr>
      <w:tr w:rsidR="00891010" w:rsidTr="00925ABE">
        <w:trPr>
          <w:trHeight w:val="1029"/>
        </w:trPr>
        <w:tc>
          <w:tcPr>
            <w:tcW w:w="4621" w:type="dxa"/>
            <w:tcBorders>
              <w:left w:val="single" w:sz="6" w:space="0" w:color="000000"/>
            </w:tcBorders>
          </w:tcPr>
          <w:p w:rsidR="00891010" w:rsidRDefault="00891010" w:rsidP="00925ABE">
            <w:pPr>
              <w:pStyle w:val="TableParagraph"/>
              <w:spacing w:before="3"/>
              <w:rPr>
                <w:b/>
                <w:sz w:val="28"/>
              </w:rPr>
            </w:pPr>
          </w:p>
          <w:p w:rsidR="00891010" w:rsidRDefault="00891010" w:rsidP="00925ABE">
            <w:pPr>
              <w:pStyle w:val="TableParagraph"/>
              <w:ind w:left="258" w:right="250"/>
              <w:jc w:val="center"/>
              <w:rPr>
                <w:sz w:val="28"/>
              </w:rPr>
            </w:pPr>
            <w:r>
              <w:rPr>
                <w:sz w:val="28"/>
              </w:rPr>
              <w:t>To be next reviewed</w:t>
            </w:r>
          </w:p>
        </w:tc>
        <w:tc>
          <w:tcPr>
            <w:tcW w:w="4624" w:type="dxa"/>
          </w:tcPr>
          <w:p w:rsidR="00891010" w:rsidRDefault="00891010" w:rsidP="00925ABE">
            <w:pPr>
              <w:pStyle w:val="TableParagraph"/>
              <w:spacing w:before="3"/>
              <w:rPr>
                <w:b/>
                <w:sz w:val="28"/>
              </w:rPr>
            </w:pPr>
          </w:p>
          <w:p w:rsidR="00891010" w:rsidRDefault="00891010" w:rsidP="00925ABE">
            <w:pPr>
              <w:pStyle w:val="TableParagraph"/>
              <w:ind w:left="577" w:right="569"/>
              <w:jc w:val="center"/>
              <w:rPr>
                <w:sz w:val="28"/>
              </w:rPr>
            </w:pPr>
            <w:r>
              <w:rPr>
                <w:sz w:val="28"/>
              </w:rPr>
              <w:t>January 2020</w:t>
            </w:r>
          </w:p>
        </w:tc>
      </w:tr>
      <w:tr w:rsidR="00891010" w:rsidTr="00925ABE">
        <w:trPr>
          <w:trHeight w:val="1032"/>
        </w:trPr>
        <w:tc>
          <w:tcPr>
            <w:tcW w:w="4621" w:type="dxa"/>
            <w:tcBorders>
              <w:left w:val="single" w:sz="6" w:space="0" w:color="000000"/>
            </w:tcBorders>
          </w:tcPr>
          <w:p w:rsidR="00891010" w:rsidRDefault="00891010" w:rsidP="00925ABE">
            <w:pPr>
              <w:pStyle w:val="TableParagraph"/>
              <w:spacing w:before="6"/>
              <w:rPr>
                <w:b/>
                <w:sz w:val="28"/>
              </w:rPr>
            </w:pPr>
          </w:p>
          <w:p w:rsidR="00891010" w:rsidRDefault="00891010" w:rsidP="00925ABE">
            <w:pPr>
              <w:pStyle w:val="TableParagraph"/>
              <w:ind w:left="255" w:right="250"/>
              <w:jc w:val="center"/>
              <w:rPr>
                <w:sz w:val="28"/>
              </w:rPr>
            </w:pPr>
            <w:r>
              <w:rPr>
                <w:sz w:val="28"/>
              </w:rPr>
              <w:t>Signed</w:t>
            </w:r>
          </w:p>
        </w:tc>
        <w:tc>
          <w:tcPr>
            <w:tcW w:w="4624" w:type="dxa"/>
          </w:tcPr>
          <w:p w:rsidR="00891010" w:rsidRDefault="00891010" w:rsidP="00925ABE">
            <w:pPr>
              <w:pStyle w:val="TableParagraph"/>
              <w:rPr>
                <w:rFonts w:ascii="Times New Roman"/>
                <w:sz w:val="28"/>
              </w:rPr>
            </w:pPr>
          </w:p>
        </w:tc>
      </w:tr>
      <w:bookmarkEnd w:id="1"/>
    </w:tbl>
    <w:p w:rsidR="00891010" w:rsidRDefault="00891010" w:rsidP="00891010">
      <w:pPr>
        <w:spacing w:before="100"/>
        <w:ind w:left="1792" w:right="2496" w:firstLine="368"/>
        <w:jc w:val="center"/>
        <w:rPr>
          <w:b/>
          <w:sz w:val="36"/>
        </w:rPr>
      </w:pPr>
    </w:p>
    <w:p w:rsidR="00A778CC" w:rsidRDefault="00A778CC" w:rsidP="00695445">
      <w:pPr>
        <w:jc w:val="both"/>
        <w:rPr>
          <w:rFonts w:asciiTheme="minorHAnsi" w:hAnsiTheme="minorHAnsi"/>
          <w:b/>
          <w:color w:val="000000" w:themeColor="text1"/>
          <w:sz w:val="22"/>
          <w:szCs w:val="22"/>
          <w:lang w:eastAsia="en-GB"/>
        </w:rPr>
      </w:pPr>
    </w:p>
    <w:p w:rsidR="00A778CC" w:rsidRDefault="00A778CC">
      <w:pPr>
        <w:widowControl/>
        <w:overflowPunct/>
        <w:autoSpaceDE/>
        <w:autoSpaceDN/>
        <w:adjustRightInd/>
        <w:textAlignment w:val="auto"/>
        <w:rPr>
          <w:rFonts w:asciiTheme="minorHAnsi" w:hAnsiTheme="minorHAnsi"/>
          <w:b/>
          <w:color w:val="000000" w:themeColor="text1"/>
          <w:sz w:val="22"/>
          <w:szCs w:val="22"/>
          <w:lang w:eastAsia="en-GB"/>
        </w:rPr>
      </w:pPr>
      <w:r>
        <w:rPr>
          <w:rFonts w:asciiTheme="minorHAnsi" w:hAnsiTheme="minorHAnsi"/>
          <w:b/>
          <w:color w:val="000000" w:themeColor="text1"/>
          <w:sz w:val="22"/>
          <w:szCs w:val="22"/>
          <w:lang w:eastAsia="en-GB"/>
        </w:rPr>
        <w:br w:type="page"/>
      </w:r>
    </w:p>
    <w:p w:rsidR="000245CC" w:rsidRDefault="000245CC" w:rsidP="00695445">
      <w:pPr>
        <w:jc w:val="both"/>
        <w:rPr>
          <w:rFonts w:asciiTheme="minorHAnsi" w:hAnsiTheme="minorHAnsi"/>
          <w:b/>
          <w:color w:val="000000" w:themeColor="text1"/>
          <w:sz w:val="22"/>
          <w:szCs w:val="22"/>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 xml:space="preserve">School workforce data that </w:t>
      </w:r>
      <w:r w:rsidR="00D43602" w:rsidRPr="00565D21">
        <w:rPr>
          <w:rFonts w:ascii="Century Gothic" w:hAnsi="Century Gothic"/>
          <w:b/>
          <w:color w:val="000000" w:themeColor="text1"/>
          <w:sz w:val="22"/>
          <w:szCs w:val="22"/>
          <w:lang w:eastAsia="en-GB"/>
        </w:rPr>
        <w:t>collects</w:t>
      </w:r>
      <w:r w:rsidRPr="00565D21">
        <w:rPr>
          <w:rFonts w:ascii="Century Gothic" w:hAnsi="Century Gothic"/>
          <w:b/>
          <w:color w:val="000000" w:themeColor="text1"/>
          <w:sz w:val="22"/>
          <w:szCs w:val="22"/>
          <w:lang w:eastAsia="en-GB"/>
        </w:rPr>
        <w:t xml:space="preserve"> processes, holds and shares</w:t>
      </w:r>
    </w:p>
    <w:p w:rsidR="001F4436"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This</w:t>
      </w:r>
      <w:r w:rsidR="001F4436" w:rsidRPr="00565D21">
        <w:rPr>
          <w:rFonts w:ascii="Century Gothic" w:hAnsi="Century Gothic"/>
          <w:color w:val="000000" w:themeColor="text1"/>
          <w:sz w:val="22"/>
          <w:szCs w:val="22"/>
          <w:lang w:eastAsia="en-GB"/>
        </w:rPr>
        <w:t xml:space="preserve"> include:</w:t>
      </w:r>
    </w:p>
    <w:p w:rsidR="00D43602" w:rsidRPr="00565D21" w:rsidRDefault="00D43602" w:rsidP="00D43602">
      <w:pPr>
        <w:numPr>
          <w:ilvl w:val="0"/>
          <w:numId w:val="3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Personal information (such as name, employee or teacher number, national insurance number,</w:t>
      </w:r>
      <w:r w:rsidR="00A778CC" w:rsidRPr="00565D21">
        <w:rPr>
          <w:rFonts w:ascii="Century Gothic" w:hAnsi="Century Gothic"/>
          <w:color w:val="000000" w:themeColor="text1"/>
          <w:sz w:val="22"/>
          <w:szCs w:val="22"/>
          <w:lang w:eastAsia="en-GB"/>
        </w:rPr>
        <w:t xml:space="preserve"> personal address,</w:t>
      </w:r>
      <w:r w:rsidRPr="00565D21">
        <w:rPr>
          <w:rFonts w:ascii="Century Gothic" w:hAnsi="Century Gothic"/>
          <w:color w:val="000000" w:themeColor="text1"/>
          <w:sz w:val="22"/>
          <w:szCs w:val="22"/>
          <w:lang w:eastAsia="en-GB"/>
        </w:rPr>
        <w:t xml:space="preserve"> personal email address, personal telephone number, date of birth</w:t>
      </w:r>
      <w:r w:rsidR="00A778CC" w:rsidRPr="00565D21">
        <w:rPr>
          <w:rFonts w:ascii="Century Gothic" w:hAnsi="Century Gothic"/>
          <w:color w:val="000000" w:themeColor="text1"/>
          <w:sz w:val="22"/>
          <w:szCs w:val="22"/>
          <w:lang w:eastAsia="en-GB"/>
        </w:rPr>
        <w:t>, relevant medical information</w:t>
      </w:r>
      <w:r w:rsidRPr="00565D21">
        <w:rPr>
          <w:rFonts w:ascii="Century Gothic" w:hAnsi="Century Gothic"/>
          <w:color w:val="000000" w:themeColor="text1"/>
          <w:sz w:val="22"/>
          <w:szCs w:val="22"/>
          <w:lang w:eastAsia="en-GB"/>
        </w:rPr>
        <w:t>);</w:t>
      </w:r>
    </w:p>
    <w:p w:rsidR="00D43602" w:rsidRPr="00565D21" w:rsidRDefault="00D43602" w:rsidP="00D43602">
      <w:pPr>
        <w:numPr>
          <w:ilvl w:val="0"/>
          <w:numId w:val="3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Special categories of data including characteristics information such as gender, age, ethnic group and disabilities;</w:t>
      </w:r>
    </w:p>
    <w:p w:rsidR="00D43602" w:rsidRPr="00565D21" w:rsidRDefault="00D43602" w:rsidP="00D43602">
      <w:pPr>
        <w:numPr>
          <w:ilvl w:val="0"/>
          <w:numId w:val="3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Contract information (such as start dates, hours worked, post, roles</w:t>
      </w:r>
      <w:r w:rsidR="00A778CC" w:rsidRPr="00565D21">
        <w:rPr>
          <w:rFonts w:ascii="Century Gothic" w:hAnsi="Century Gothic"/>
          <w:color w:val="000000" w:themeColor="text1"/>
          <w:sz w:val="22"/>
          <w:szCs w:val="22"/>
          <w:lang w:eastAsia="en-GB"/>
        </w:rPr>
        <w:t>,</w:t>
      </w:r>
      <w:r w:rsidRPr="00565D21">
        <w:rPr>
          <w:rFonts w:ascii="Century Gothic" w:hAnsi="Century Gothic"/>
          <w:color w:val="000000" w:themeColor="text1"/>
          <w:sz w:val="22"/>
          <w:szCs w:val="22"/>
          <w:lang w:eastAsia="en-GB"/>
        </w:rPr>
        <w:t xml:space="preserve"> salary information</w:t>
      </w:r>
      <w:r w:rsidR="00A778CC" w:rsidRPr="00565D21">
        <w:rPr>
          <w:rFonts w:ascii="Century Gothic" w:hAnsi="Century Gothic"/>
          <w:color w:val="000000" w:themeColor="text1"/>
          <w:sz w:val="22"/>
          <w:szCs w:val="22"/>
          <w:lang w:eastAsia="en-GB"/>
        </w:rPr>
        <w:t>, other payroll information</w:t>
      </w:r>
      <w:r w:rsidRPr="00565D21">
        <w:rPr>
          <w:rFonts w:ascii="Century Gothic" w:hAnsi="Century Gothic"/>
          <w:color w:val="000000" w:themeColor="text1"/>
          <w:sz w:val="22"/>
          <w:szCs w:val="22"/>
          <w:lang w:eastAsia="en-GB"/>
        </w:rPr>
        <w:t>);</w:t>
      </w:r>
    </w:p>
    <w:p w:rsidR="00D43602" w:rsidRPr="00565D21" w:rsidRDefault="00D43602" w:rsidP="00D43602">
      <w:pPr>
        <w:numPr>
          <w:ilvl w:val="0"/>
          <w:numId w:val="3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Work absence information (such as number of absences and reasons);</w:t>
      </w:r>
    </w:p>
    <w:p w:rsidR="00D43602" w:rsidRPr="00565D21" w:rsidRDefault="00D43602" w:rsidP="00D43602">
      <w:pPr>
        <w:numPr>
          <w:ilvl w:val="0"/>
          <w:numId w:val="3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Qualifications (and, where relevant, subjects taught), training records and professional memberships;</w:t>
      </w:r>
    </w:p>
    <w:p w:rsidR="00D43602" w:rsidRPr="00565D21" w:rsidRDefault="00D43602" w:rsidP="00D43602">
      <w:pPr>
        <w:numPr>
          <w:ilvl w:val="0"/>
          <w:numId w:val="3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Next of kin and emergency contact details;</w:t>
      </w:r>
    </w:p>
    <w:p w:rsidR="00D43602" w:rsidRPr="00565D21" w:rsidRDefault="00D43602" w:rsidP="00D43602">
      <w:pPr>
        <w:numPr>
          <w:ilvl w:val="0"/>
          <w:numId w:val="3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Disciplinary and grievance information;</w:t>
      </w:r>
    </w:p>
    <w:p w:rsidR="00D43602" w:rsidRPr="00565D21" w:rsidRDefault="00D43602" w:rsidP="00D43602">
      <w:pPr>
        <w:numPr>
          <w:ilvl w:val="0"/>
          <w:numId w:val="3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Performance information.</w:t>
      </w:r>
    </w:p>
    <w:p w:rsidR="00695445" w:rsidRPr="00565D21" w:rsidRDefault="00695445" w:rsidP="00695445">
      <w:pPr>
        <w:jc w:val="both"/>
        <w:rPr>
          <w:rFonts w:ascii="Century Gothic" w:hAnsi="Century Gothic"/>
          <w:color w:val="000000" w:themeColor="text1"/>
          <w:sz w:val="22"/>
          <w:szCs w:val="22"/>
          <w:lang w:eastAsia="en-GB"/>
        </w:rPr>
      </w:pPr>
    </w:p>
    <w:p w:rsidR="00A778CC" w:rsidRPr="00565D21" w:rsidRDefault="00A778CC" w:rsidP="00695445">
      <w:pPr>
        <w:jc w:val="both"/>
        <w:rPr>
          <w:rFonts w:ascii="Century Gothic" w:hAnsi="Century Gothic"/>
          <w:b/>
          <w:color w:val="000000" w:themeColor="text1"/>
          <w:sz w:val="22"/>
          <w:szCs w:val="22"/>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 xml:space="preserve">Why </w:t>
      </w:r>
      <w:r w:rsidR="00A778CC" w:rsidRPr="00565D21">
        <w:rPr>
          <w:rFonts w:ascii="Century Gothic" w:hAnsi="Century Gothic"/>
          <w:b/>
          <w:color w:val="000000" w:themeColor="text1"/>
          <w:sz w:val="22"/>
          <w:szCs w:val="22"/>
          <w:lang w:eastAsia="en-GB" w:bidi="en-GB"/>
        </w:rPr>
        <w:t xml:space="preserve">St Ignatius collects </w:t>
      </w:r>
      <w:r w:rsidRPr="00565D21">
        <w:rPr>
          <w:rFonts w:ascii="Century Gothic" w:hAnsi="Century Gothic"/>
          <w:b/>
          <w:color w:val="000000" w:themeColor="text1"/>
          <w:sz w:val="22"/>
          <w:szCs w:val="22"/>
          <w:lang w:eastAsia="en-GB"/>
        </w:rPr>
        <w:t>and uses this information</w:t>
      </w:r>
    </w:p>
    <w:p w:rsidR="00695445" w:rsidRPr="00565D21" w:rsidRDefault="00A778CC" w:rsidP="00695445">
      <w:pPr>
        <w:jc w:val="both"/>
        <w:rPr>
          <w:rFonts w:ascii="Century Gothic" w:hAnsi="Century Gothic"/>
          <w:color w:val="000000" w:themeColor="text1"/>
          <w:sz w:val="22"/>
          <w:szCs w:val="22"/>
          <w:lang w:val="en-US" w:eastAsia="en-GB"/>
        </w:rPr>
      </w:pPr>
      <w:r w:rsidRPr="00565D21">
        <w:rPr>
          <w:rFonts w:ascii="Century Gothic" w:hAnsi="Century Gothic"/>
          <w:color w:val="000000" w:themeColor="text1"/>
          <w:sz w:val="22"/>
          <w:szCs w:val="22"/>
          <w:lang w:eastAsia="en-GB" w:bidi="en-GB"/>
        </w:rPr>
        <w:t>St Ignatius uses</w:t>
      </w:r>
      <w:r w:rsidR="00695445" w:rsidRPr="00565D21">
        <w:rPr>
          <w:rFonts w:ascii="Century Gothic" w:hAnsi="Century Gothic"/>
          <w:color w:val="000000" w:themeColor="text1"/>
          <w:sz w:val="22"/>
          <w:szCs w:val="22"/>
          <w:lang w:eastAsia="en-GB"/>
        </w:rPr>
        <w:t xml:space="preserve"> workforce data to:</w:t>
      </w:r>
    </w:p>
    <w:p w:rsidR="00695445" w:rsidRPr="00565D21" w:rsidRDefault="00695445" w:rsidP="00695445">
      <w:pPr>
        <w:jc w:val="both"/>
        <w:rPr>
          <w:rFonts w:ascii="Century Gothic" w:hAnsi="Century Gothic"/>
          <w:color w:val="000000" w:themeColor="text1"/>
          <w:sz w:val="22"/>
          <w:szCs w:val="22"/>
          <w:lang w:val="en-US" w:eastAsia="en-GB"/>
        </w:rPr>
      </w:pPr>
    </w:p>
    <w:p w:rsidR="00D43602" w:rsidRPr="00565D21" w:rsidRDefault="00D43602" w:rsidP="00D43602">
      <w:pPr>
        <w:numPr>
          <w:ilvl w:val="0"/>
          <w:numId w:val="36"/>
        </w:numPr>
        <w:jc w:val="both"/>
        <w:rPr>
          <w:rFonts w:ascii="Century Gothic" w:hAnsi="Century Gothic"/>
          <w:color w:val="000000" w:themeColor="text1"/>
          <w:sz w:val="22"/>
          <w:szCs w:val="22"/>
          <w:lang w:val="en-US" w:eastAsia="en-GB"/>
        </w:rPr>
      </w:pPr>
      <w:r w:rsidRPr="00565D21">
        <w:rPr>
          <w:rFonts w:ascii="Century Gothic" w:hAnsi="Century Gothic"/>
          <w:color w:val="000000" w:themeColor="text1"/>
          <w:sz w:val="22"/>
          <w:szCs w:val="22"/>
          <w:lang w:val="en-US" w:eastAsia="en-GB"/>
        </w:rPr>
        <w:t>Enable the development of a comprehensive picture of the workforce and how it is deployed;</w:t>
      </w:r>
    </w:p>
    <w:p w:rsidR="00D43602" w:rsidRPr="00565D21" w:rsidRDefault="00D43602" w:rsidP="00D43602">
      <w:pPr>
        <w:numPr>
          <w:ilvl w:val="0"/>
          <w:numId w:val="36"/>
        </w:numPr>
        <w:jc w:val="both"/>
        <w:rPr>
          <w:rFonts w:ascii="Century Gothic" w:hAnsi="Century Gothic"/>
          <w:color w:val="000000" w:themeColor="text1"/>
          <w:sz w:val="22"/>
          <w:szCs w:val="22"/>
          <w:lang w:val="en-US" w:eastAsia="en-GB"/>
        </w:rPr>
      </w:pPr>
      <w:r w:rsidRPr="00565D21">
        <w:rPr>
          <w:rFonts w:ascii="Century Gothic" w:hAnsi="Century Gothic"/>
          <w:color w:val="000000" w:themeColor="text1"/>
          <w:sz w:val="22"/>
          <w:szCs w:val="22"/>
          <w:lang w:val="en-US" w:eastAsia="en-GB"/>
        </w:rPr>
        <w:t>Inform the development of recruitment and retention policies;</w:t>
      </w:r>
    </w:p>
    <w:p w:rsidR="00D43602" w:rsidRPr="00565D21" w:rsidRDefault="00D43602" w:rsidP="00D43602">
      <w:pPr>
        <w:numPr>
          <w:ilvl w:val="0"/>
          <w:numId w:val="36"/>
        </w:numPr>
        <w:jc w:val="both"/>
        <w:rPr>
          <w:rFonts w:ascii="Century Gothic" w:hAnsi="Century Gothic"/>
          <w:color w:val="000000" w:themeColor="text1"/>
          <w:sz w:val="22"/>
          <w:szCs w:val="22"/>
          <w:lang w:val="en-US" w:eastAsia="en-GB"/>
        </w:rPr>
      </w:pPr>
      <w:r w:rsidRPr="00565D21">
        <w:rPr>
          <w:rFonts w:ascii="Century Gothic" w:hAnsi="Century Gothic"/>
          <w:color w:val="000000" w:themeColor="text1"/>
          <w:sz w:val="22"/>
          <w:szCs w:val="22"/>
          <w:lang w:val="en-US" w:eastAsia="en-GB"/>
        </w:rPr>
        <w:t>Enable individuals to be paid;</w:t>
      </w:r>
    </w:p>
    <w:p w:rsidR="00D43602" w:rsidRPr="00565D21" w:rsidRDefault="00D43602" w:rsidP="00D43602">
      <w:pPr>
        <w:numPr>
          <w:ilvl w:val="0"/>
          <w:numId w:val="36"/>
        </w:numPr>
        <w:jc w:val="both"/>
        <w:rPr>
          <w:rFonts w:ascii="Century Gothic" w:hAnsi="Century Gothic"/>
          <w:color w:val="000000" w:themeColor="text1"/>
          <w:sz w:val="22"/>
          <w:szCs w:val="22"/>
          <w:lang w:val="en-US" w:eastAsia="en-GB"/>
        </w:rPr>
      </w:pPr>
      <w:r w:rsidRPr="00565D21">
        <w:rPr>
          <w:rFonts w:ascii="Century Gothic" w:hAnsi="Century Gothic"/>
          <w:color w:val="000000" w:themeColor="text1"/>
          <w:sz w:val="22"/>
          <w:szCs w:val="22"/>
          <w:lang w:val="en-US" w:eastAsia="en-GB"/>
        </w:rPr>
        <w:t>Comply with employment and other laws;</w:t>
      </w:r>
    </w:p>
    <w:p w:rsidR="00D43602" w:rsidRPr="00565D21" w:rsidRDefault="00D43602" w:rsidP="00D43602">
      <w:pPr>
        <w:numPr>
          <w:ilvl w:val="0"/>
          <w:numId w:val="36"/>
        </w:numPr>
        <w:jc w:val="both"/>
        <w:rPr>
          <w:rFonts w:ascii="Century Gothic" w:hAnsi="Century Gothic"/>
          <w:color w:val="000000" w:themeColor="text1"/>
          <w:sz w:val="22"/>
          <w:szCs w:val="22"/>
          <w:lang w:val="en-US" w:eastAsia="en-GB"/>
        </w:rPr>
      </w:pPr>
      <w:r w:rsidRPr="00565D21">
        <w:rPr>
          <w:rFonts w:ascii="Century Gothic" w:hAnsi="Century Gothic"/>
          <w:color w:val="000000" w:themeColor="text1"/>
          <w:sz w:val="22"/>
          <w:szCs w:val="22"/>
          <w:lang w:val="en-US" w:eastAsia="en-GB"/>
        </w:rPr>
        <w:t>Ensure your health and safety in the workplace and to assess your fitness to work, to provide appropriate workplace adjustments, to monitor and manage sickness benefits;</w:t>
      </w:r>
    </w:p>
    <w:p w:rsidR="00D43602" w:rsidRPr="00565D21" w:rsidRDefault="00D43602" w:rsidP="00D43602">
      <w:pPr>
        <w:numPr>
          <w:ilvl w:val="0"/>
          <w:numId w:val="36"/>
        </w:numPr>
        <w:jc w:val="both"/>
        <w:rPr>
          <w:rFonts w:ascii="Century Gothic" w:hAnsi="Century Gothic"/>
          <w:color w:val="000000" w:themeColor="text1"/>
          <w:sz w:val="22"/>
          <w:szCs w:val="22"/>
          <w:lang w:val="en-US" w:eastAsia="en-GB"/>
        </w:rPr>
      </w:pPr>
      <w:r w:rsidRPr="00565D21">
        <w:rPr>
          <w:rFonts w:ascii="Century Gothic" w:hAnsi="Century Gothic"/>
          <w:color w:val="000000" w:themeColor="text1"/>
          <w:sz w:val="22"/>
          <w:szCs w:val="22"/>
          <w:lang w:val="en-US" w:eastAsia="en-GB"/>
        </w:rPr>
        <w:t>Ensure meaningful equal opportunity monitoring and reporting.</w:t>
      </w:r>
    </w:p>
    <w:p w:rsidR="00695445" w:rsidRPr="00565D21" w:rsidRDefault="00695445" w:rsidP="00695445">
      <w:pPr>
        <w:jc w:val="both"/>
        <w:rPr>
          <w:rFonts w:ascii="Century Gothic" w:hAnsi="Century Gothic"/>
          <w:color w:val="000000" w:themeColor="text1"/>
          <w:sz w:val="22"/>
          <w:szCs w:val="22"/>
          <w:lang w:val="en-US" w:eastAsia="en-GB"/>
        </w:rPr>
      </w:pPr>
    </w:p>
    <w:p w:rsidR="00695445" w:rsidRPr="00565D21" w:rsidRDefault="00695445" w:rsidP="00695445">
      <w:pPr>
        <w:jc w:val="both"/>
        <w:rPr>
          <w:rFonts w:ascii="Century Gothic" w:hAnsi="Century Gothic"/>
          <w:color w:val="000000" w:themeColor="text1"/>
          <w:sz w:val="22"/>
          <w:szCs w:val="22"/>
          <w:lang w:eastAsia="en-GB"/>
        </w:rPr>
      </w:pPr>
    </w:p>
    <w:p w:rsidR="00D43602" w:rsidRPr="00565D21" w:rsidRDefault="00D43602" w:rsidP="00D43602">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 xml:space="preserve">The lawful basis on which </w:t>
      </w:r>
      <w:r w:rsidR="00A778CC" w:rsidRPr="00565D21">
        <w:rPr>
          <w:rFonts w:ascii="Century Gothic" w:hAnsi="Century Gothic"/>
          <w:b/>
          <w:color w:val="000000" w:themeColor="text1"/>
          <w:sz w:val="22"/>
          <w:szCs w:val="22"/>
          <w:lang w:eastAsia="en-GB" w:bidi="en-GB"/>
        </w:rPr>
        <w:t>St Ignatius</w:t>
      </w:r>
      <w:r w:rsidR="00A778CC" w:rsidRPr="00565D21">
        <w:rPr>
          <w:rFonts w:ascii="Century Gothic" w:hAnsi="Century Gothic"/>
          <w:color w:val="000000" w:themeColor="text1"/>
          <w:sz w:val="22"/>
          <w:szCs w:val="22"/>
          <w:lang w:eastAsia="en-GB" w:bidi="en-GB"/>
        </w:rPr>
        <w:t xml:space="preserve"> </w:t>
      </w:r>
      <w:r w:rsidRPr="00565D21">
        <w:rPr>
          <w:rFonts w:ascii="Century Gothic" w:hAnsi="Century Gothic"/>
          <w:b/>
          <w:color w:val="000000" w:themeColor="text1"/>
          <w:sz w:val="22"/>
          <w:szCs w:val="22"/>
          <w:lang w:eastAsia="en-GB"/>
        </w:rPr>
        <w:t>process this information</w:t>
      </w:r>
    </w:p>
    <w:p w:rsidR="00D43602" w:rsidRPr="00565D21" w:rsidRDefault="00A778CC" w:rsidP="00D43602">
      <w:pPr>
        <w:jc w:val="both"/>
        <w:rPr>
          <w:rFonts w:ascii="Century Gothic" w:hAnsi="Century Gothic"/>
          <w:b/>
          <w:color w:val="000000" w:themeColor="text1"/>
          <w:sz w:val="22"/>
          <w:szCs w:val="22"/>
          <w:lang w:eastAsia="en-GB"/>
        </w:rPr>
      </w:pPr>
      <w:r w:rsidRPr="00565D21">
        <w:rPr>
          <w:rFonts w:ascii="Century Gothic" w:hAnsi="Century Gothic"/>
          <w:color w:val="000000" w:themeColor="text1"/>
          <w:sz w:val="22"/>
          <w:szCs w:val="22"/>
          <w:lang w:eastAsia="en-GB" w:bidi="en-GB"/>
        </w:rPr>
        <w:t xml:space="preserve">St Ignatius </w:t>
      </w:r>
      <w:r w:rsidR="00D43602" w:rsidRPr="00565D21">
        <w:rPr>
          <w:rFonts w:ascii="Century Gothic" w:hAnsi="Century Gothic"/>
          <w:color w:val="000000" w:themeColor="text1"/>
          <w:sz w:val="22"/>
          <w:szCs w:val="22"/>
          <w:lang w:eastAsia="en-GB"/>
        </w:rPr>
        <w:t>processes this information under General Data Protection Regulation:</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numPr>
          <w:ilvl w:val="0"/>
          <w:numId w:val="35"/>
        </w:numPr>
        <w:jc w:val="both"/>
        <w:rPr>
          <w:rFonts w:ascii="Century Gothic" w:hAnsi="Century Gothic"/>
          <w:color w:val="000000" w:themeColor="text1"/>
          <w:sz w:val="22"/>
          <w:szCs w:val="22"/>
          <w:lang w:eastAsia="en-GB"/>
        </w:rPr>
      </w:pPr>
      <w:r w:rsidRPr="00565D21">
        <w:rPr>
          <w:rFonts w:ascii="Century Gothic" w:hAnsi="Century Gothic"/>
          <w:bCs/>
          <w:color w:val="000000" w:themeColor="text1"/>
          <w:sz w:val="22"/>
          <w:szCs w:val="22"/>
          <w:lang w:eastAsia="en-GB"/>
        </w:rPr>
        <w:t>Article 6(1)(b)</w:t>
      </w:r>
      <w:r w:rsidRPr="00565D21">
        <w:rPr>
          <w:rFonts w:ascii="Century Gothic" w:hAnsi="Century Gothic"/>
          <w:color w:val="000000" w:themeColor="text1"/>
          <w:sz w:val="22"/>
          <w:szCs w:val="22"/>
          <w:lang w:eastAsia="en-GB"/>
        </w:rPr>
        <w:t xml:space="preserve"> processing is necessary for the performance of a contract to which the data subject is party or in order to take steps at the request of the data subject prior to entering into a contract.</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numPr>
          <w:ilvl w:val="0"/>
          <w:numId w:val="35"/>
        </w:numPr>
        <w:jc w:val="both"/>
        <w:rPr>
          <w:rFonts w:ascii="Century Gothic" w:hAnsi="Century Gothic"/>
          <w:color w:val="000000" w:themeColor="text1"/>
          <w:sz w:val="22"/>
          <w:szCs w:val="22"/>
          <w:lang w:eastAsia="en-GB"/>
        </w:rPr>
      </w:pPr>
      <w:r w:rsidRPr="00565D21">
        <w:rPr>
          <w:rFonts w:ascii="Century Gothic" w:hAnsi="Century Gothic"/>
          <w:bCs/>
          <w:color w:val="000000" w:themeColor="text1"/>
          <w:sz w:val="22"/>
          <w:szCs w:val="22"/>
          <w:lang w:eastAsia="en-GB"/>
        </w:rPr>
        <w:t>Article 9(2)(b)</w:t>
      </w:r>
      <w:r w:rsidRPr="00565D21">
        <w:rPr>
          <w:rFonts w:ascii="Century Gothic" w:hAnsi="Century Gothic"/>
          <w:color w:val="000000" w:themeColor="text1"/>
          <w:sz w:val="22"/>
          <w:szCs w:val="22"/>
          <w:lang w:eastAsia="en-GB"/>
        </w:rPr>
        <w:t xml:space="preserve"> processing is necessary for the purpose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Collecting this information</w:t>
      </w:r>
    </w:p>
    <w:p w:rsidR="00695445"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Whilst the majority of information you provide to the School is mandatory, some of it is provided on a voluntary basis. In order to comply with data protection legislation</w:t>
      </w:r>
      <w:r w:rsidR="00A778CC" w:rsidRPr="00565D21">
        <w:rPr>
          <w:rFonts w:ascii="Century Gothic" w:hAnsi="Century Gothic"/>
          <w:color w:val="000000" w:themeColor="text1"/>
          <w:sz w:val="22"/>
          <w:szCs w:val="22"/>
          <w:lang w:eastAsia="en-GB" w:bidi="en-GB"/>
        </w:rPr>
        <w:t xml:space="preserve"> St Ignatius </w:t>
      </w:r>
      <w:r w:rsidRPr="00565D21">
        <w:rPr>
          <w:rFonts w:ascii="Century Gothic" w:hAnsi="Century Gothic"/>
          <w:color w:val="000000" w:themeColor="text1"/>
          <w:sz w:val="22"/>
          <w:szCs w:val="22"/>
          <w:lang w:eastAsia="en-GB"/>
        </w:rPr>
        <w:t xml:space="preserve">will inform you whether you are required to provide certain school workforce information to us or if you have a choice in this. </w:t>
      </w:r>
    </w:p>
    <w:p w:rsidR="00695445" w:rsidRPr="00565D21" w:rsidRDefault="00695445" w:rsidP="00695445">
      <w:pPr>
        <w:jc w:val="both"/>
        <w:rPr>
          <w:rFonts w:ascii="Century Gothic" w:hAnsi="Century Gothic"/>
          <w:color w:val="000000" w:themeColor="text1"/>
          <w:sz w:val="22"/>
          <w:szCs w:val="22"/>
          <w:lang w:eastAsia="en-GB"/>
        </w:rPr>
      </w:pPr>
    </w:p>
    <w:p w:rsidR="00565D21" w:rsidRDefault="00565D21" w:rsidP="00695445">
      <w:pPr>
        <w:jc w:val="both"/>
        <w:rPr>
          <w:rFonts w:ascii="Century Gothic" w:hAnsi="Century Gothic"/>
          <w:b/>
          <w:color w:val="000000" w:themeColor="text1"/>
          <w:sz w:val="22"/>
          <w:szCs w:val="22"/>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lastRenderedPageBreak/>
        <w:t>Storing this information</w:t>
      </w:r>
    </w:p>
    <w:p w:rsidR="00884CF0" w:rsidRPr="00565D21" w:rsidRDefault="00A778CC" w:rsidP="00884CF0">
      <w:pPr>
        <w:jc w:val="both"/>
        <w:rPr>
          <w:rFonts w:ascii="Century Gothic" w:hAnsi="Century Gothic" w:cstheme="minorHAnsi"/>
          <w:color w:val="000000" w:themeColor="text1"/>
          <w:sz w:val="22"/>
          <w:szCs w:val="22"/>
          <w:lang w:eastAsia="en-GB"/>
        </w:rPr>
      </w:pPr>
      <w:r w:rsidRPr="00565D21">
        <w:rPr>
          <w:rFonts w:ascii="Century Gothic" w:hAnsi="Century Gothic"/>
          <w:color w:val="000000" w:themeColor="text1"/>
          <w:sz w:val="22"/>
          <w:szCs w:val="22"/>
          <w:lang w:eastAsia="en-GB" w:bidi="en-GB"/>
        </w:rPr>
        <w:t xml:space="preserve">St Ignatius </w:t>
      </w:r>
      <w:r w:rsidR="00695445" w:rsidRPr="00565D21">
        <w:rPr>
          <w:rFonts w:ascii="Century Gothic" w:hAnsi="Century Gothic"/>
          <w:color w:val="000000" w:themeColor="text1"/>
          <w:sz w:val="22"/>
          <w:szCs w:val="22"/>
          <w:lang w:eastAsia="en-GB"/>
        </w:rPr>
        <w:t xml:space="preserve">holds </w:t>
      </w:r>
      <w:r w:rsidR="00D43602" w:rsidRPr="00565D21">
        <w:rPr>
          <w:rFonts w:ascii="Century Gothic" w:hAnsi="Century Gothic"/>
          <w:color w:val="000000" w:themeColor="text1"/>
          <w:sz w:val="22"/>
          <w:szCs w:val="22"/>
          <w:lang w:eastAsia="en-GB"/>
        </w:rPr>
        <w:t xml:space="preserve">various </w:t>
      </w:r>
      <w:r w:rsidR="00695445" w:rsidRPr="00565D21">
        <w:rPr>
          <w:rFonts w:ascii="Century Gothic" w:hAnsi="Century Gothic"/>
          <w:color w:val="000000" w:themeColor="text1"/>
          <w:sz w:val="22"/>
          <w:szCs w:val="22"/>
          <w:lang w:eastAsia="en-GB"/>
        </w:rPr>
        <w:t>workforce data for</w:t>
      </w:r>
      <w:r w:rsidR="00D43602" w:rsidRPr="00565D21">
        <w:rPr>
          <w:rFonts w:ascii="Century Gothic" w:hAnsi="Century Gothic"/>
          <w:color w:val="000000" w:themeColor="text1"/>
          <w:sz w:val="22"/>
          <w:szCs w:val="22"/>
          <w:lang w:eastAsia="en-GB"/>
        </w:rPr>
        <w:t xml:space="preserve"> legal and or business </w:t>
      </w:r>
      <w:r w:rsidR="00D43602" w:rsidRPr="00565D21">
        <w:rPr>
          <w:rFonts w:ascii="Century Gothic" w:hAnsi="Century Gothic" w:cstheme="minorHAnsi"/>
          <w:color w:val="000000" w:themeColor="text1"/>
          <w:sz w:val="22"/>
          <w:szCs w:val="22"/>
          <w:lang w:eastAsia="en-GB"/>
        </w:rPr>
        <w:t>reasons</w:t>
      </w:r>
      <w:r w:rsidR="00884CF0" w:rsidRPr="00565D21">
        <w:rPr>
          <w:rFonts w:ascii="Century Gothic" w:hAnsi="Century Gothic" w:cstheme="minorHAnsi"/>
          <w:color w:val="000000" w:themeColor="text1"/>
          <w:sz w:val="22"/>
          <w:szCs w:val="22"/>
          <w:lang w:eastAsia="en-GB"/>
        </w:rPr>
        <w:t xml:space="preserve"> and </w:t>
      </w:r>
      <w:r w:rsidR="00884CF0" w:rsidRPr="00565D21">
        <w:rPr>
          <w:rFonts w:ascii="Century Gothic" w:hAnsi="Century Gothic" w:cstheme="minorHAnsi"/>
          <w:sz w:val="22"/>
          <w:szCs w:val="22"/>
        </w:rPr>
        <w:t xml:space="preserve">is stored in line </w:t>
      </w:r>
      <w:r w:rsidR="00884CF0" w:rsidRPr="00565D21">
        <w:rPr>
          <w:rFonts w:ascii="Century Gothic" w:hAnsi="Century Gothic" w:cstheme="minorHAnsi"/>
          <w:color w:val="000000" w:themeColor="text1"/>
          <w:sz w:val="22"/>
          <w:szCs w:val="22"/>
          <w:lang w:eastAsia="en-GB"/>
        </w:rPr>
        <w:t>with the School’s GDPR Data Protection Policy.</w:t>
      </w:r>
    </w:p>
    <w:p w:rsidR="00884CF0" w:rsidRPr="00565D21" w:rsidRDefault="00884CF0" w:rsidP="00884CF0">
      <w:pPr>
        <w:jc w:val="both"/>
        <w:rPr>
          <w:rFonts w:ascii="Century Gothic" w:hAnsi="Century Gothic"/>
          <w:color w:val="000000" w:themeColor="text1"/>
          <w:sz w:val="22"/>
          <w:szCs w:val="22"/>
          <w:lang w:eastAsia="en-GB"/>
        </w:rPr>
      </w:pPr>
    </w:p>
    <w:p w:rsidR="00884CF0" w:rsidRPr="00565D21" w:rsidRDefault="00884CF0" w:rsidP="00884CF0">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The School stores data is only for as long as is necessary to complete the task for which it was originally collected.</w:t>
      </w:r>
    </w:p>
    <w:p w:rsidR="00884CF0" w:rsidRPr="00565D21" w:rsidRDefault="00884CF0" w:rsidP="00884CF0">
      <w:pPr>
        <w:jc w:val="both"/>
        <w:rPr>
          <w:rFonts w:ascii="Century Gothic" w:hAnsi="Century Gothic"/>
          <w:color w:val="000000" w:themeColor="text1"/>
          <w:sz w:val="22"/>
          <w:szCs w:val="22"/>
          <w:lang w:eastAsia="en-GB"/>
        </w:rPr>
      </w:pPr>
    </w:p>
    <w:p w:rsidR="00884CF0" w:rsidRPr="00565D21" w:rsidRDefault="00884CF0" w:rsidP="00884CF0">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 xml:space="preserve">The retention period of employee data varies depending on the nature of the information.  The following summarises some of the key data collated </w:t>
      </w:r>
      <w:r w:rsidR="00A778CC" w:rsidRPr="00565D21">
        <w:rPr>
          <w:rFonts w:ascii="Century Gothic" w:hAnsi="Century Gothic"/>
          <w:color w:val="000000" w:themeColor="text1"/>
          <w:sz w:val="22"/>
          <w:szCs w:val="22"/>
          <w:lang w:eastAsia="en-GB"/>
        </w:rPr>
        <w:t xml:space="preserve">by </w:t>
      </w:r>
      <w:r w:rsidR="00A778CC" w:rsidRPr="00565D21">
        <w:rPr>
          <w:rFonts w:ascii="Century Gothic" w:hAnsi="Century Gothic"/>
          <w:color w:val="000000" w:themeColor="text1"/>
          <w:sz w:val="22"/>
          <w:szCs w:val="22"/>
          <w:lang w:eastAsia="en-GB" w:bidi="en-GB"/>
        </w:rPr>
        <w:t>St Ignatius</w:t>
      </w:r>
      <w:r w:rsidRPr="00565D21">
        <w:rPr>
          <w:rFonts w:ascii="Century Gothic" w:hAnsi="Century Gothic"/>
          <w:color w:val="000000" w:themeColor="text1"/>
          <w:sz w:val="22"/>
          <w:szCs w:val="22"/>
          <w:lang w:eastAsia="en-GB"/>
        </w:rPr>
        <w:t xml:space="preserve"> will collate and retain workforce data.   </w:t>
      </w:r>
    </w:p>
    <w:p w:rsidR="00884CF0" w:rsidRPr="00565D21" w:rsidRDefault="00884CF0" w:rsidP="00884CF0">
      <w:pPr>
        <w:jc w:val="both"/>
        <w:rPr>
          <w:rFonts w:ascii="Century Gothic" w:hAnsi="Century Gothic"/>
          <w:color w:val="000000" w:themeColor="text1"/>
          <w:sz w:val="22"/>
          <w:szCs w:val="22"/>
          <w:lang w:eastAsia="en-GB"/>
        </w:rPr>
      </w:pPr>
    </w:p>
    <w:p w:rsidR="00884CF0" w:rsidRPr="00565D21" w:rsidRDefault="00884CF0" w:rsidP="00884CF0">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We</w:t>
      </w:r>
      <w:r w:rsidR="002808E2" w:rsidRPr="00565D21">
        <w:rPr>
          <w:rFonts w:ascii="Century Gothic" w:hAnsi="Century Gothic"/>
          <w:color w:val="000000" w:themeColor="text1"/>
          <w:sz w:val="22"/>
          <w:szCs w:val="22"/>
          <w:lang w:eastAsia="en-GB"/>
        </w:rPr>
        <w:t xml:space="preserve"> </w:t>
      </w:r>
      <w:r w:rsidRPr="00565D21">
        <w:rPr>
          <w:rFonts w:ascii="Century Gothic" w:hAnsi="Century Gothic"/>
          <w:color w:val="000000" w:themeColor="text1"/>
          <w:sz w:val="22"/>
          <w:szCs w:val="22"/>
          <w:lang w:eastAsia="en-GB"/>
        </w:rPr>
        <w:t>will apply best practice on data retention for example, the Information Management Toolkit for Schools when deciding how long to retain data.</w:t>
      </w:r>
    </w:p>
    <w:p w:rsidR="00884CF0" w:rsidRPr="00565D21" w:rsidRDefault="00884CF0" w:rsidP="00884CF0">
      <w:pPr>
        <w:jc w:val="both"/>
        <w:rPr>
          <w:rFonts w:ascii="Century Gothic" w:hAnsi="Century Gothic"/>
          <w:color w:val="000000" w:themeColor="text1"/>
          <w:sz w:val="22"/>
          <w:szCs w:val="22"/>
          <w:lang w:eastAsia="en-GB"/>
        </w:rPr>
      </w:pPr>
    </w:p>
    <w:tbl>
      <w:tblPr>
        <w:tblStyle w:val="TableGrid"/>
        <w:tblW w:w="0" w:type="auto"/>
        <w:tblInd w:w="-5" w:type="dxa"/>
        <w:tblLook w:val="04A0"/>
      </w:tblPr>
      <w:tblGrid>
        <w:gridCol w:w="5309"/>
        <w:gridCol w:w="4324"/>
      </w:tblGrid>
      <w:tr w:rsidR="00884CF0" w:rsidRPr="00565D21" w:rsidTr="00884CF0">
        <w:tc>
          <w:tcPr>
            <w:tcW w:w="5309" w:type="dxa"/>
          </w:tcPr>
          <w:p w:rsidR="00884CF0" w:rsidRPr="00565D21" w:rsidRDefault="00884CF0" w:rsidP="00884CF0">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Personnel File (e.g. Absence data, Disciplinary and Grievance records, CPD and Recruitment data).</w:t>
            </w:r>
          </w:p>
        </w:tc>
        <w:tc>
          <w:tcPr>
            <w:tcW w:w="4324" w:type="dxa"/>
          </w:tcPr>
          <w:p w:rsidR="00884CF0" w:rsidRPr="00565D21" w:rsidRDefault="00884CF0" w:rsidP="00884CF0">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Termination of employment + 6 years</w:t>
            </w:r>
          </w:p>
        </w:tc>
      </w:tr>
      <w:tr w:rsidR="00884CF0" w:rsidRPr="00565D21" w:rsidTr="00884CF0">
        <w:tc>
          <w:tcPr>
            <w:tcW w:w="5309" w:type="dxa"/>
          </w:tcPr>
          <w:p w:rsidR="00884CF0" w:rsidRPr="00565D21" w:rsidRDefault="00884CF0" w:rsidP="00884CF0">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Allegation of a child protection matter</w:t>
            </w:r>
          </w:p>
        </w:tc>
        <w:tc>
          <w:tcPr>
            <w:tcW w:w="4324" w:type="dxa"/>
          </w:tcPr>
          <w:p w:rsidR="00884CF0" w:rsidRPr="00565D21" w:rsidRDefault="00884CF0" w:rsidP="00884CF0">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 xml:space="preserve">Until retire (or 10 years from allegation if longer) / </w:t>
            </w:r>
            <w:r w:rsidRPr="00565D21">
              <w:rPr>
                <w:rFonts w:ascii="Century Gothic" w:hAnsi="Century Gothic"/>
                <w:b/>
                <w:color w:val="000000" w:themeColor="text1"/>
                <w:sz w:val="22"/>
                <w:szCs w:val="22"/>
                <w:lang w:eastAsia="en-GB"/>
              </w:rPr>
              <w:t>take advice</w:t>
            </w:r>
          </w:p>
        </w:tc>
      </w:tr>
      <w:tr w:rsidR="00884CF0" w:rsidRPr="00565D21" w:rsidTr="00884CF0">
        <w:tc>
          <w:tcPr>
            <w:tcW w:w="5309" w:type="dxa"/>
          </w:tcPr>
          <w:p w:rsidR="00884CF0" w:rsidRPr="00565D21" w:rsidRDefault="00884CF0" w:rsidP="00884CF0">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Malicious allegation of a child protection matter</w:t>
            </w:r>
          </w:p>
        </w:tc>
        <w:tc>
          <w:tcPr>
            <w:tcW w:w="4324" w:type="dxa"/>
          </w:tcPr>
          <w:p w:rsidR="00884CF0" w:rsidRPr="00565D21" w:rsidRDefault="00884CF0" w:rsidP="00884CF0">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 xml:space="preserve">Dispose at end of case </w:t>
            </w:r>
            <w:r w:rsidRPr="00565D21">
              <w:rPr>
                <w:rFonts w:ascii="Century Gothic" w:hAnsi="Century Gothic"/>
                <w:b/>
                <w:color w:val="000000" w:themeColor="text1"/>
                <w:sz w:val="22"/>
                <w:szCs w:val="22"/>
                <w:lang w:eastAsia="en-GB"/>
              </w:rPr>
              <w:t>/ take advice</w:t>
            </w:r>
          </w:p>
        </w:tc>
      </w:tr>
    </w:tbl>
    <w:p w:rsidR="00884CF0" w:rsidRPr="00565D21" w:rsidRDefault="00884CF0" w:rsidP="00695445">
      <w:pPr>
        <w:jc w:val="both"/>
        <w:rPr>
          <w:rFonts w:ascii="Century Gothic" w:hAnsi="Century Gothic"/>
          <w:color w:val="C00000"/>
          <w:sz w:val="22"/>
          <w:szCs w:val="22"/>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 xml:space="preserve">Who does </w:t>
      </w:r>
      <w:r w:rsidR="00A778CC" w:rsidRPr="00565D21">
        <w:rPr>
          <w:rFonts w:ascii="Century Gothic" w:hAnsi="Century Gothic"/>
          <w:b/>
          <w:color w:val="000000" w:themeColor="text1"/>
          <w:sz w:val="22"/>
          <w:szCs w:val="22"/>
          <w:lang w:eastAsia="en-GB" w:bidi="en-GB"/>
        </w:rPr>
        <w:t>St Ignatius</w:t>
      </w:r>
      <w:r w:rsidR="00A778CC" w:rsidRPr="00565D21">
        <w:rPr>
          <w:rFonts w:ascii="Century Gothic" w:hAnsi="Century Gothic"/>
          <w:color w:val="000000" w:themeColor="text1"/>
          <w:sz w:val="22"/>
          <w:szCs w:val="22"/>
          <w:lang w:eastAsia="en-GB" w:bidi="en-GB"/>
        </w:rPr>
        <w:t xml:space="preserve"> </w:t>
      </w:r>
      <w:r w:rsidRPr="00565D21">
        <w:rPr>
          <w:rFonts w:ascii="Century Gothic" w:hAnsi="Century Gothic"/>
          <w:b/>
          <w:color w:val="000000" w:themeColor="text1"/>
          <w:sz w:val="22"/>
          <w:szCs w:val="22"/>
          <w:lang w:eastAsia="en-GB"/>
        </w:rPr>
        <w:t>shares this information with?</w:t>
      </w:r>
    </w:p>
    <w:p w:rsidR="00695445" w:rsidRPr="00565D21" w:rsidRDefault="00A778CC"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bidi="en-GB"/>
        </w:rPr>
        <w:t xml:space="preserve">St Ignatius </w:t>
      </w:r>
      <w:r w:rsidR="00695445" w:rsidRPr="00565D21">
        <w:rPr>
          <w:rFonts w:ascii="Century Gothic" w:hAnsi="Century Gothic"/>
          <w:color w:val="000000" w:themeColor="text1"/>
          <w:sz w:val="22"/>
          <w:szCs w:val="22"/>
          <w:lang w:eastAsia="en-GB"/>
        </w:rPr>
        <w:t>routinely share this information with:</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numPr>
          <w:ilvl w:val="0"/>
          <w:numId w:val="30"/>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Haringey Council;</w:t>
      </w:r>
    </w:p>
    <w:p w:rsidR="00695445" w:rsidRPr="00565D21" w:rsidRDefault="00695445" w:rsidP="00695445">
      <w:pPr>
        <w:numPr>
          <w:ilvl w:val="0"/>
          <w:numId w:val="30"/>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the Department for Education (DfE)</w:t>
      </w:r>
      <w:r w:rsidR="00884CF0" w:rsidRPr="00565D21">
        <w:rPr>
          <w:rFonts w:ascii="Century Gothic" w:hAnsi="Century Gothic"/>
          <w:color w:val="000000" w:themeColor="text1"/>
          <w:sz w:val="22"/>
          <w:szCs w:val="22"/>
          <w:lang w:eastAsia="en-GB"/>
        </w:rPr>
        <w:t>.</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Why</w:t>
      </w:r>
      <w:r w:rsidR="00A778CC" w:rsidRPr="00565D21">
        <w:rPr>
          <w:rFonts w:ascii="Century Gothic" w:hAnsi="Century Gothic"/>
          <w:b/>
          <w:color w:val="000000" w:themeColor="text1"/>
          <w:sz w:val="22"/>
          <w:szCs w:val="22"/>
          <w:lang w:eastAsia="en-GB" w:bidi="en-GB"/>
        </w:rPr>
        <w:t xml:space="preserve"> St Ignatius</w:t>
      </w:r>
      <w:r w:rsidR="00A778CC" w:rsidRPr="00565D21">
        <w:rPr>
          <w:rFonts w:ascii="Century Gothic" w:hAnsi="Century Gothic"/>
          <w:color w:val="000000" w:themeColor="text1"/>
          <w:sz w:val="22"/>
          <w:szCs w:val="22"/>
          <w:lang w:eastAsia="en-GB" w:bidi="en-GB"/>
        </w:rPr>
        <w:t xml:space="preserve"> </w:t>
      </w:r>
      <w:r w:rsidRPr="00565D21">
        <w:rPr>
          <w:rFonts w:ascii="Century Gothic" w:hAnsi="Century Gothic"/>
          <w:b/>
          <w:color w:val="000000" w:themeColor="text1"/>
          <w:sz w:val="22"/>
          <w:szCs w:val="22"/>
          <w:lang w:eastAsia="en-GB"/>
        </w:rPr>
        <w:t>shares school workforce information</w:t>
      </w:r>
    </w:p>
    <w:p w:rsidR="00695445" w:rsidRPr="00565D21" w:rsidRDefault="00A778CC"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bidi="en-GB"/>
        </w:rPr>
        <w:t xml:space="preserve">St Ignatius </w:t>
      </w:r>
      <w:r w:rsidR="00695445" w:rsidRPr="00565D21">
        <w:rPr>
          <w:rFonts w:ascii="Century Gothic" w:hAnsi="Century Gothic"/>
          <w:color w:val="000000" w:themeColor="text1"/>
          <w:sz w:val="22"/>
          <w:szCs w:val="22"/>
          <w:lang w:eastAsia="en-GB"/>
        </w:rPr>
        <w:t>does not share information about workforce members with anyone without consent unless the law and our policies allow us to do so.</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 xml:space="preserve">Haringey Council </w:t>
      </w:r>
    </w:p>
    <w:p w:rsidR="00695445" w:rsidRPr="00565D21" w:rsidRDefault="00A778CC"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bidi="en-GB"/>
        </w:rPr>
        <w:t xml:space="preserve">St Ignatius </w:t>
      </w:r>
      <w:r w:rsidR="00695445" w:rsidRPr="00565D21">
        <w:rPr>
          <w:rFonts w:ascii="Century Gothic" w:hAnsi="Century Gothic"/>
          <w:color w:val="000000" w:themeColor="text1"/>
          <w:sz w:val="22"/>
          <w:szCs w:val="22"/>
          <w:lang w:eastAsia="en-GB"/>
        </w:rPr>
        <w:t>is required to share information about its workforce members with Haringey Council under section 5 of the Education (Supply of Information about the School Workforce) (England) Regulations 2007 and amendments.</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Department for Education (DfE)</w:t>
      </w:r>
    </w:p>
    <w:p w:rsidR="002808E2" w:rsidRPr="00565D21" w:rsidRDefault="002808E2" w:rsidP="002808E2">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The School shares personal data with the Department for Education (DfE) on a statutory basis. This data sharing underpins workforce policy monitoring, evaluation, and links to school funding / expenditure and the assessment educational attainment.</w:t>
      </w:r>
    </w:p>
    <w:p w:rsidR="002808E2" w:rsidRPr="00565D21" w:rsidRDefault="002808E2" w:rsidP="002808E2">
      <w:pPr>
        <w:jc w:val="both"/>
        <w:rPr>
          <w:rFonts w:ascii="Century Gothic" w:hAnsi="Century Gothic"/>
          <w:color w:val="000000" w:themeColor="text1"/>
          <w:sz w:val="22"/>
          <w:szCs w:val="22"/>
          <w:lang w:eastAsia="en-GB"/>
        </w:rPr>
      </w:pPr>
    </w:p>
    <w:p w:rsidR="002808E2" w:rsidRPr="00565D21" w:rsidRDefault="002808E2" w:rsidP="002808E2">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 xml:space="preserve">The School is required to pass information about our pupils to the Department for Education (DfE) under section 5 of the Education (Supply of Information about the School Workforce) (England) Regulations 2007 and amendments. </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Data collection requirements</w:t>
      </w:r>
    </w:p>
    <w:p w:rsidR="00695445"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The DfE collects and processes personal data relating to those employed by schools.  All state funded schools are required to make a census submission because it is a statutory return under sections 113 and 114 of the Education Act 2005.</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 xml:space="preserve">To find out more about the data collection requirements placed on us by the Department </w:t>
      </w:r>
      <w:r w:rsidRPr="00565D21">
        <w:rPr>
          <w:rFonts w:ascii="Century Gothic" w:hAnsi="Century Gothic"/>
          <w:color w:val="000000" w:themeColor="text1"/>
          <w:sz w:val="22"/>
          <w:szCs w:val="22"/>
          <w:lang w:eastAsia="en-GB"/>
        </w:rPr>
        <w:lastRenderedPageBreak/>
        <w:t xml:space="preserve">for Education including the data that we share with them, go to </w:t>
      </w:r>
      <w:hyperlink r:id="rId9" w:history="1">
        <w:r w:rsidRPr="00565D21">
          <w:rPr>
            <w:rStyle w:val="Hyperlink"/>
            <w:rFonts w:ascii="Century Gothic" w:hAnsi="Century Gothic"/>
            <w:color w:val="000000" w:themeColor="text1"/>
            <w:sz w:val="22"/>
            <w:szCs w:val="22"/>
            <w:lang w:eastAsia="en-GB"/>
          </w:rPr>
          <w:t>https://www.gov.uk/education/data-collection-and-censuses-for-schools</w:t>
        </w:r>
      </w:hyperlink>
      <w:r w:rsidRPr="00565D21">
        <w:rPr>
          <w:rFonts w:ascii="Century Gothic" w:hAnsi="Century Gothic"/>
          <w:color w:val="000000" w:themeColor="text1"/>
          <w:sz w:val="22"/>
          <w:szCs w:val="22"/>
          <w:lang w:eastAsia="en-GB"/>
        </w:rPr>
        <w:t>.</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The department may share information about school employees with third parties who promote the education or well-being of children or the effective deployment of school staff in England by:</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numPr>
          <w:ilvl w:val="0"/>
          <w:numId w:val="26"/>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conducting research or analysis</w:t>
      </w:r>
      <w:r w:rsidR="00D43602" w:rsidRPr="00565D21">
        <w:rPr>
          <w:rFonts w:ascii="Century Gothic" w:hAnsi="Century Gothic"/>
          <w:color w:val="000000" w:themeColor="text1"/>
          <w:sz w:val="22"/>
          <w:szCs w:val="22"/>
          <w:lang w:eastAsia="en-GB"/>
        </w:rPr>
        <w:t>;</w:t>
      </w:r>
    </w:p>
    <w:p w:rsidR="00695445" w:rsidRPr="00565D21" w:rsidRDefault="00695445" w:rsidP="00695445">
      <w:pPr>
        <w:numPr>
          <w:ilvl w:val="0"/>
          <w:numId w:val="26"/>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producing statistics</w:t>
      </w:r>
      <w:r w:rsidR="00D43602" w:rsidRPr="00565D21">
        <w:rPr>
          <w:rFonts w:ascii="Century Gothic" w:hAnsi="Century Gothic"/>
          <w:color w:val="000000" w:themeColor="text1"/>
          <w:sz w:val="22"/>
          <w:szCs w:val="22"/>
          <w:lang w:eastAsia="en-GB"/>
        </w:rPr>
        <w:t>;</w:t>
      </w:r>
    </w:p>
    <w:p w:rsidR="00695445" w:rsidRPr="00565D21" w:rsidRDefault="00695445" w:rsidP="00695445">
      <w:pPr>
        <w:numPr>
          <w:ilvl w:val="0"/>
          <w:numId w:val="26"/>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providing information, advice or guidance</w:t>
      </w:r>
      <w:r w:rsidR="00D43602" w:rsidRPr="00565D21">
        <w:rPr>
          <w:rFonts w:ascii="Century Gothic" w:hAnsi="Century Gothic"/>
          <w:color w:val="000000" w:themeColor="text1"/>
          <w:sz w:val="22"/>
          <w:szCs w:val="22"/>
          <w:lang w:eastAsia="en-GB"/>
        </w:rPr>
        <w:t>.</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numPr>
          <w:ilvl w:val="0"/>
          <w:numId w:val="2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who is requesting the data</w:t>
      </w:r>
      <w:r w:rsidR="00D43602" w:rsidRPr="00565D21">
        <w:rPr>
          <w:rFonts w:ascii="Century Gothic" w:hAnsi="Century Gothic"/>
          <w:color w:val="000000" w:themeColor="text1"/>
          <w:sz w:val="22"/>
          <w:szCs w:val="22"/>
          <w:lang w:eastAsia="en-GB"/>
        </w:rPr>
        <w:t>;</w:t>
      </w:r>
    </w:p>
    <w:p w:rsidR="00695445" w:rsidRPr="00565D21" w:rsidRDefault="00695445" w:rsidP="00695445">
      <w:pPr>
        <w:numPr>
          <w:ilvl w:val="0"/>
          <w:numId w:val="2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the purpose for which it is required</w:t>
      </w:r>
      <w:r w:rsidR="00D43602" w:rsidRPr="00565D21">
        <w:rPr>
          <w:rFonts w:ascii="Century Gothic" w:hAnsi="Century Gothic"/>
          <w:color w:val="000000" w:themeColor="text1"/>
          <w:sz w:val="22"/>
          <w:szCs w:val="22"/>
          <w:lang w:eastAsia="en-GB"/>
        </w:rPr>
        <w:t>;</w:t>
      </w:r>
    </w:p>
    <w:p w:rsidR="00695445" w:rsidRPr="00565D21" w:rsidRDefault="00695445" w:rsidP="00695445">
      <w:pPr>
        <w:numPr>
          <w:ilvl w:val="0"/>
          <w:numId w:val="2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 xml:space="preserve">the level and sensitivity of data requested; and </w:t>
      </w:r>
    </w:p>
    <w:p w:rsidR="00695445" w:rsidRPr="00565D21" w:rsidRDefault="00695445" w:rsidP="00695445">
      <w:pPr>
        <w:numPr>
          <w:ilvl w:val="0"/>
          <w:numId w:val="27"/>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the arrangements in place to securely store and handle the data</w:t>
      </w:r>
      <w:r w:rsidR="00D43602" w:rsidRPr="00565D21">
        <w:rPr>
          <w:rFonts w:ascii="Century Gothic" w:hAnsi="Century Gothic"/>
          <w:color w:val="000000" w:themeColor="text1"/>
          <w:sz w:val="22"/>
          <w:szCs w:val="22"/>
          <w:lang w:eastAsia="en-GB"/>
        </w:rPr>
        <w:t>.</w:t>
      </w:r>
      <w:r w:rsidRPr="00565D21">
        <w:rPr>
          <w:rFonts w:ascii="Century Gothic" w:hAnsi="Century Gothic"/>
          <w:color w:val="000000" w:themeColor="text1"/>
          <w:sz w:val="22"/>
          <w:szCs w:val="22"/>
          <w:lang w:eastAsia="en-GB"/>
        </w:rPr>
        <w:t xml:space="preserve"> </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To be granted access to school workforce information, organisations must comply with its strict terms and conditions covering the confidentiality and handling of the data, security arrangements and retention and use of the data.</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 xml:space="preserve">For more information about the department’s data sharing process, please visit: </w:t>
      </w:r>
    </w:p>
    <w:p w:rsidR="00695445" w:rsidRPr="00565D21" w:rsidRDefault="00BB6205" w:rsidP="00695445">
      <w:pPr>
        <w:jc w:val="both"/>
        <w:rPr>
          <w:rFonts w:ascii="Century Gothic" w:hAnsi="Century Gothic"/>
          <w:color w:val="000000" w:themeColor="text1"/>
          <w:sz w:val="22"/>
          <w:szCs w:val="22"/>
          <w:lang w:eastAsia="en-GB"/>
        </w:rPr>
      </w:pPr>
      <w:hyperlink r:id="rId10" w:tooltip="Data protection: how we collect and share research data" w:history="1">
        <w:r w:rsidR="00695445" w:rsidRPr="00565D21">
          <w:rPr>
            <w:rStyle w:val="Hyperlink"/>
            <w:rFonts w:ascii="Century Gothic" w:hAnsi="Century Gothic"/>
            <w:color w:val="000000" w:themeColor="text1"/>
            <w:sz w:val="22"/>
            <w:szCs w:val="22"/>
            <w:lang w:eastAsia="en-GB"/>
          </w:rPr>
          <w:t>https://www.gov.uk/data-protection-how-we-collect-and-share-research-data</w:t>
        </w:r>
      </w:hyperlink>
      <w:r w:rsidR="00695445" w:rsidRPr="00565D21">
        <w:rPr>
          <w:rFonts w:ascii="Century Gothic" w:hAnsi="Century Gothic"/>
          <w:color w:val="000000" w:themeColor="text1"/>
          <w:sz w:val="22"/>
          <w:szCs w:val="22"/>
          <w:lang w:eastAsia="en-GB"/>
        </w:rPr>
        <w:t xml:space="preserve"> </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color w:val="000000" w:themeColor="text1"/>
          <w:sz w:val="22"/>
          <w:szCs w:val="22"/>
          <w:u w:val="single"/>
          <w:lang w:eastAsia="en-GB"/>
        </w:rPr>
      </w:pPr>
      <w:r w:rsidRPr="00565D21">
        <w:rPr>
          <w:rFonts w:ascii="Century Gothic" w:hAnsi="Century Gothic"/>
          <w:color w:val="000000" w:themeColor="text1"/>
          <w:sz w:val="22"/>
          <w:szCs w:val="22"/>
          <w:lang w:eastAsia="en-GB"/>
        </w:rPr>
        <w:t xml:space="preserve">To contact the department: </w:t>
      </w:r>
      <w:hyperlink r:id="rId11" w:history="1">
        <w:r w:rsidRPr="00565D21">
          <w:rPr>
            <w:rStyle w:val="Hyperlink"/>
            <w:rFonts w:ascii="Century Gothic" w:hAnsi="Century Gothic"/>
            <w:color w:val="000000" w:themeColor="text1"/>
            <w:sz w:val="22"/>
            <w:szCs w:val="22"/>
            <w:lang w:eastAsia="en-GB"/>
          </w:rPr>
          <w:t>https://www.gov.uk/contact-dfe</w:t>
        </w:r>
      </w:hyperlink>
    </w:p>
    <w:p w:rsidR="00695445" w:rsidRPr="00565D21" w:rsidRDefault="00695445" w:rsidP="00695445">
      <w:pPr>
        <w:jc w:val="both"/>
        <w:rPr>
          <w:rFonts w:ascii="Century Gothic" w:hAnsi="Century Gothic"/>
          <w:color w:val="000000" w:themeColor="text1"/>
          <w:sz w:val="22"/>
          <w:szCs w:val="22"/>
          <w:u w:val="single"/>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Requesting access to your personal data</w:t>
      </w:r>
    </w:p>
    <w:p w:rsidR="00A778CC"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Under data protection legislation, you have the right to request access to information about you that we hold. To make a request for your personal information, contact</w:t>
      </w:r>
      <w:r w:rsidR="00A778CC" w:rsidRPr="00565D21">
        <w:rPr>
          <w:rFonts w:ascii="Century Gothic" w:hAnsi="Century Gothic"/>
          <w:color w:val="000000" w:themeColor="text1"/>
          <w:sz w:val="22"/>
          <w:szCs w:val="22"/>
          <w:lang w:eastAsia="en-GB"/>
        </w:rPr>
        <w:t xml:space="preserve"> Mr C J Bonner. </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You also have the right to:</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numPr>
          <w:ilvl w:val="0"/>
          <w:numId w:val="28"/>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Object to processing of personal data that is likely to cause, or is causing, damage or distress</w:t>
      </w:r>
      <w:r w:rsidR="00D43602" w:rsidRPr="00565D21">
        <w:rPr>
          <w:rFonts w:ascii="Century Gothic" w:hAnsi="Century Gothic"/>
          <w:color w:val="000000" w:themeColor="text1"/>
          <w:sz w:val="22"/>
          <w:szCs w:val="22"/>
          <w:lang w:eastAsia="en-GB"/>
        </w:rPr>
        <w:t>;</w:t>
      </w:r>
    </w:p>
    <w:p w:rsidR="00695445" w:rsidRPr="00565D21" w:rsidRDefault="00695445" w:rsidP="00695445">
      <w:pPr>
        <w:numPr>
          <w:ilvl w:val="0"/>
          <w:numId w:val="28"/>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Prevent processing for the purpose of direct marketing</w:t>
      </w:r>
      <w:r w:rsidR="00D43602" w:rsidRPr="00565D21">
        <w:rPr>
          <w:rFonts w:ascii="Century Gothic" w:hAnsi="Century Gothic"/>
          <w:color w:val="000000" w:themeColor="text1"/>
          <w:sz w:val="22"/>
          <w:szCs w:val="22"/>
          <w:lang w:eastAsia="en-GB"/>
        </w:rPr>
        <w:t>;</w:t>
      </w:r>
    </w:p>
    <w:p w:rsidR="00695445" w:rsidRPr="00565D21" w:rsidRDefault="00695445" w:rsidP="00695445">
      <w:pPr>
        <w:numPr>
          <w:ilvl w:val="0"/>
          <w:numId w:val="28"/>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Object to decisions being taken by automated means</w:t>
      </w:r>
      <w:r w:rsidR="00D43602" w:rsidRPr="00565D21">
        <w:rPr>
          <w:rFonts w:ascii="Century Gothic" w:hAnsi="Century Gothic"/>
          <w:color w:val="000000" w:themeColor="text1"/>
          <w:sz w:val="22"/>
          <w:szCs w:val="22"/>
          <w:lang w:eastAsia="en-GB"/>
        </w:rPr>
        <w:t>;</w:t>
      </w:r>
    </w:p>
    <w:p w:rsidR="00695445" w:rsidRPr="00565D21" w:rsidRDefault="00695445" w:rsidP="00695445">
      <w:pPr>
        <w:numPr>
          <w:ilvl w:val="0"/>
          <w:numId w:val="28"/>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In certain circumstances, have inaccurate personal data rectified, blocked, erased or destroyed; and</w:t>
      </w:r>
    </w:p>
    <w:p w:rsidR="00695445" w:rsidRPr="00565D21" w:rsidRDefault="00695445" w:rsidP="00695445">
      <w:pPr>
        <w:numPr>
          <w:ilvl w:val="0"/>
          <w:numId w:val="28"/>
        </w:num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Claim compensation for damages caused by a breach of the Data Protection regulations</w:t>
      </w:r>
      <w:r w:rsidR="00D43602" w:rsidRPr="00565D21">
        <w:rPr>
          <w:rFonts w:ascii="Century Gothic" w:hAnsi="Century Gothic"/>
          <w:color w:val="000000" w:themeColor="text1"/>
          <w:sz w:val="22"/>
          <w:szCs w:val="22"/>
          <w:lang w:eastAsia="en-GB"/>
        </w:rPr>
        <w:t>.</w:t>
      </w:r>
      <w:r w:rsidRPr="00565D21">
        <w:rPr>
          <w:rFonts w:ascii="Century Gothic" w:hAnsi="Century Gothic"/>
          <w:color w:val="000000" w:themeColor="text1"/>
          <w:sz w:val="22"/>
          <w:szCs w:val="22"/>
          <w:lang w:eastAsia="en-GB"/>
        </w:rPr>
        <w:t xml:space="preserve"> </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 xml:space="preserve">If you have a concern about the way the School is collecting or using your personal data, we ask that you raise your concern with the School in the first instance. Alternatively, you can contact the Information Commissioner’s Office at </w:t>
      </w:r>
      <w:hyperlink r:id="rId12" w:history="1">
        <w:r w:rsidRPr="00565D21">
          <w:rPr>
            <w:rStyle w:val="Hyperlink"/>
            <w:rFonts w:ascii="Century Gothic" w:hAnsi="Century Gothic"/>
            <w:color w:val="000000" w:themeColor="text1"/>
            <w:sz w:val="22"/>
            <w:szCs w:val="22"/>
            <w:lang w:eastAsia="en-GB"/>
          </w:rPr>
          <w:t>https://ico.org.uk/concerns/</w:t>
        </w:r>
      </w:hyperlink>
      <w:r w:rsidR="00D43602" w:rsidRPr="00565D21">
        <w:rPr>
          <w:rStyle w:val="Hyperlink"/>
          <w:rFonts w:ascii="Century Gothic" w:hAnsi="Century Gothic"/>
          <w:color w:val="000000" w:themeColor="text1"/>
          <w:sz w:val="22"/>
          <w:szCs w:val="22"/>
          <w:lang w:eastAsia="en-GB"/>
        </w:rPr>
        <w:t>.</w:t>
      </w:r>
    </w:p>
    <w:p w:rsidR="00695445" w:rsidRPr="00565D21" w:rsidRDefault="00695445" w:rsidP="00695445">
      <w:pPr>
        <w:jc w:val="both"/>
        <w:rPr>
          <w:rFonts w:ascii="Century Gothic" w:hAnsi="Century Gothic"/>
          <w:color w:val="000000" w:themeColor="text1"/>
          <w:sz w:val="22"/>
          <w:szCs w:val="22"/>
          <w:lang w:eastAsia="en-GB"/>
        </w:rPr>
      </w:pPr>
    </w:p>
    <w:p w:rsidR="00695445" w:rsidRPr="00565D21" w:rsidRDefault="00695445" w:rsidP="00695445">
      <w:pPr>
        <w:jc w:val="both"/>
        <w:rPr>
          <w:rFonts w:ascii="Century Gothic" w:hAnsi="Century Gothic"/>
          <w:b/>
          <w:color w:val="000000" w:themeColor="text1"/>
          <w:sz w:val="22"/>
          <w:szCs w:val="22"/>
          <w:lang w:eastAsia="en-GB"/>
        </w:rPr>
      </w:pPr>
      <w:r w:rsidRPr="00565D21">
        <w:rPr>
          <w:rFonts w:ascii="Century Gothic" w:hAnsi="Century Gothic"/>
          <w:b/>
          <w:color w:val="000000" w:themeColor="text1"/>
          <w:sz w:val="22"/>
          <w:szCs w:val="22"/>
          <w:lang w:eastAsia="en-GB"/>
        </w:rPr>
        <w:t>Further information</w:t>
      </w:r>
    </w:p>
    <w:p w:rsidR="00A778CC" w:rsidRPr="00565D21" w:rsidRDefault="00695445" w:rsidP="00695445">
      <w:pPr>
        <w:jc w:val="both"/>
        <w:rPr>
          <w:rFonts w:ascii="Century Gothic" w:hAnsi="Century Gothic"/>
          <w:color w:val="000000" w:themeColor="text1"/>
          <w:sz w:val="22"/>
          <w:szCs w:val="22"/>
          <w:lang w:eastAsia="en-GB"/>
        </w:rPr>
      </w:pPr>
      <w:r w:rsidRPr="00565D21">
        <w:rPr>
          <w:rFonts w:ascii="Century Gothic" w:hAnsi="Century Gothic"/>
          <w:color w:val="000000" w:themeColor="text1"/>
          <w:sz w:val="22"/>
          <w:szCs w:val="22"/>
          <w:lang w:eastAsia="en-GB"/>
        </w:rPr>
        <w:t>If you would like to discuss anything in this privacy notice, please contact:</w:t>
      </w:r>
      <w:r w:rsidR="00A778CC" w:rsidRPr="00565D21">
        <w:rPr>
          <w:rFonts w:ascii="Century Gothic" w:hAnsi="Century Gothic"/>
          <w:color w:val="000000" w:themeColor="text1"/>
          <w:sz w:val="22"/>
          <w:szCs w:val="22"/>
          <w:lang w:eastAsia="en-GB"/>
        </w:rPr>
        <w:t xml:space="preserve"> Mr C J Bonner c/o School Administrator (email: </w:t>
      </w:r>
      <w:hyperlink r:id="rId13" w:history="1">
        <w:r w:rsidR="00A778CC" w:rsidRPr="00565D21">
          <w:rPr>
            <w:rStyle w:val="Hyperlink"/>
            <w:rFonts w:ascii="Century Gothic" w:hAnsi="Century Gothic"/>
            <w:sz w:val="22"/>
            <w:szCs w:val="22"/>
            <w:lang w:eastAsia="en-GB"/>
          </w:rPr>
          <w:t>admin@st-igs.haringey.sch.uk</w:t>
        </w:r>
      </w:hyperlink>
      <w:r w:rsidR="00A778CC" w:rsidRPr="00565D21">
        <w:rPr>
          <w:rFonts w:ascii="Century Gothic" w:hAnsi="Century Gothic"/>
          <w:color w:val="000000" w:themeColor="text1"/>
          <w:sz w:val="22"/>
          <w:szCs w:val="22"/>
          <w:lang w:eastAsia="en-GB"/>
        </w:rPr>
        <w:t xml:space="preserve"> or call: 02088002771)</w:t>
      </w:r>
    </w:p>
    <w:p w:rsidR="00695445" w:rsidRPr="00565D21" w:rsidRDefault="00695445" w:rsidP="00695445">
      <w:pPr>
        <w:jc w:val="both"/>
        <w:rPr>
          <w:rFonts w:ascii="Century Gothic" w:hAnsi="Century Gothic"/>
          <w:color w:val="000000" w:themeColor="text1"/>
          <w:sz w:val="22"/>
          <w:szCs w:val="22"/>
          <w:lang w:eastAsia="en-GB"/>
        </w:rPr>
      </w:pPr>
    </w:p>
    <w:sectPr w:rsidR="00695445" w:rsidRPr="00565D21" w:rsidSect="000245CC">
      <w:footerReference w:type="even" r:id="rId14"/>
      <w:footerReference w:type="default" r:id="rId15"/>
      <w:footnotePr>
        <w:numRestart w:val="eachSect"/>
      </w:footnotePr>
      <w:type w:val="continuous"/>
      <w:pgSz w:w="11906" w:h="16838"/>
      <w:pgMar w:top="1042"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A5" w:rsidRDefault="00D639A5">
      <w:r>
        <w:separator/>
      </w:r>
    </w:p>
  </w:endnote>
  <w:endnote w:type="continuationSeparator" w:id="0">
    <w:p w:rsidR="00D639A5" w:rsidRDefault="00D639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39" w:rsidRDefault="00BB6205" w:rsidP="00D43602">
    <w:pPr>
      <w:pStyle w:val="Footer"/>
      <w:framePr w:wrap="none" w:vAnchor="text" w:hAnchor="margin" w:xAlign="right" w:y="1"/>
      <w:rPr>
        <w:rStyle w:val="PageNumber"/>
      </w:rPr>
    </w:pPr>
    <w:r>
      <w:rPr>
        <w:rStyle w:val="PageNumber"/>
      </w:rPr>
      <w:fldChar w:fldCharType="begin"/>
    </w:r>
    <w:r w:rsidR="00555A39">
      <w:rPr>
        <w:rStyle w:val="PageNumber"/>
      </w:rPr>
      <w:instrText xml:space="preserve">PAGE  </w:instrText>
    </w:r>
    <w:r>
      <w:rPr>
        <w:rStyle w:val="PageNumber"/>
      </w:rPr>
      <w:fldChar w:fldCharType="end"/>
    </w:r>
  </w:p>
  <w:p w:rsidR="00555A39" w:rsidRDefault="00555A39" w:rsidP="006954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39" w:rsidRDefault="00BB6205" w:rsidP="00D43602">
    <w:pPr>
      <w:pStyle w:val="Footer"/>
      <w:framePr w:wrap="none" w:vAnchor="text" w:hAnchor="margin" w:xAlign="right" w:y="1"/>
      <w:rPr>
        <w:rStyle w:val="PageNumber"/>
      </w:rPr>
    </w:pPr>
    <w:r>
      <w:rPr>
        <w:rStyle w:val="PageNumber"/>
      </w:rPr>
      <w:fldChar w:fldCharType="begin"/>
    </w:r>
    <w:r w:rsidR="00555A39">
      <w:rPr>
        <w:rStyle w:val="PageNumber"/>
      </w:rPr>
      <w:instrText xml:space="preserve">PAGE  </w:instrText>
    </w:r>
    <w:r>
      <w:rPr>
        <w:rStyle w:val="PageNumber"/>
      </w:rPr>
      <w:fldChar w:fldCharType="separate"/>
    </w:r>
    <w:r w:rsidR="006E1659">
      <w:rPr>
        <w:rStyle w:val="PageNumber"/>
        <w:noProof/>
      </w:rPr>
      <w:t>5</w:t>
    </w:r>
    <w:r>
      <w:rPr>
        <w:rStyle w:val="PageNumber"/>
      </w:rPr>
      <w:fldChar w:fldCharType="end"/>
    </w:r>
  </w:p>
  <w:p w:rsidR="00555A39" w:rsidRDefault="00555A39" w:rsidP="00695445">
    <w:pPr>
      <w:pStyle w:val="Footer"/>
      <w:ind w:right="360"/>
      <w:jc w:val="right"/>
    </w:pPr>
  </w:p>
  <w:p w:rsidR="00555A39" w:rsidRDefault="00555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A5" w:rsidRDefault="00D639A5">
      <w:r>
        <w:separator/>
      </w:r>
    </w:p>
  </w:footnote>
  <w:footnote w:type="continuationSeparator" w:id="0">
    <w:p w:rsidR="00D639A5" w:rsidRDefault="00D63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41998"/>
    <w:multiLevelType w:val="hybridMultilevel"/>
    <w:tmpl w:val="1A2A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39530A"/>
    <w:multiLevelType w:val="hybridMultilevel"/>
    <w:tmpl w:val="F212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nsid w:val="44F65C14"/>
    <w:multiLevelType w:val="hybridMultilevel"/>
    <w:tmpl w:val="80DC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5"/>
  </w:num>
  <w:num w:numId="11">
    <w:abstractNumId w:val="7"/>
  </w:num>
  <w:num w:numId="12">
    <w:abstractNumId w:val="27"/>
  </w:num>
  <w:num w:numId="13">
    <w:abstractNumId w:val="1"/>
  </w:num>
  <w:num w:numId="14">
    <w:abstractNumId w:val="24"/>
  </w:num>
  <w:num w:numId="15">
    <w:abstractNumId w:val="16"/>
  </w:num>
  <w:num w:numId="16">
    <w:abstractNumId w:val="28"/>
  </w:num>
  <w:num w:numId="17">
    <w:abstractNumId w:val="32"/>
  </w:num>
  <w:num w:numId="18">
    <w:abstractNumId w:val="22"/>
  </w:num>
  <w:num w:numId="19">
    <w:abstractNumId w:val="29"/>
  </w:num>
  <w:num w:numId="20">
    <w:abstractNumId w:val="30"/>
  </w:num>
  <w:num w:numId="21">
    <w:abstractNumId w:val="3"/>
  </w:num>
  <w:num w:numId="22">
    <w:abstractNumId w:val="14"/>
  </w:num>
  <w:num w:numId="23">
    <w:abstractNumId w:val="13"/>
  </w:num>
  <w:num w:numId="24">
    <w:abstractNumId w:val="35"/>
  </w:num>
  <w:num w:numId="25">
    <w:abstractNumId w:val="18"/>
  </w:num>
  <w:num w:numId="26">
    <w:abstractNumId w:val="8"/>
  </w:num>
  <w:num w:numId="27">
    <w:abstractNumId w:val="6"/>
  </w:num>
  <w:num w:numId="28">
    <w:abstractNumId w:val="31"/>
  </w:num>
  <w:num w:numId="29">
    <w:abstractNumId w:val="21"/>
  </w:num>
  <w:num w:numId="30">
    <w:abstractNumId w:val="19"/>
  </w:num>
  <w:num w:numId="31">
    <w:abstractNumId w:val="15"/>
  </w:num>
  <w:num w:numId="32">
    <w:abstractNumId w:val="9"/>
  </w:num>
  <w:num w:numId="33">
    <w:abstractNumId w:val="33"/>
  </w:num>
  <w:num w:numId="34">
    <w:abstractNumId w:val="12"/>
  </w:num>
  <w:num w:numId="35">
    <w:abstractNumId w:val="10"/>
  </w:num>
  <w:num w:numId="36">
    <w:abstractNumId w:val="2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hdrShapeDefaults>
    <o:shapedefaults v:ext="edit" spidmax="5122"/>
  </w:hdrShapeDefaults>
  <w:footnotePr>
    <w:numRestart w:val="eachSect"/>
    <w:footnote w:id="-1"/>
    <w:footnote w:id="0"/>
  </w:footnotePr>
  <w:endnotePr>
    <w:endnote w:id="-1"/>
    <w:endnote w:id="0"/>
  </w:endnotePr>
  <w:compat/>
  <w:rsids>
    <w:rsidRoot w:val="00A77D0E"/>
    <w:rsid w:val="00002262"/>
    <w:rsid w:val="00010DD0"/>
    <w:rsid w:val="00011F78"/>
    <w:rsid w:val="00022296"/>
    <w:rsid w:val="00022DB6"/>
    <w:rsid w:val="000245CC"/>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87AF0"/>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426"/>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08E2"/>
    <w:rsid w:val="002832FB"/>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B7AD7"/>
    <w:rsid w:val="003C2A2A"/>
    <w:rsid w:val="003C3E8D"/>
    <w:rsid w:val="003D74A2"/>
    <w:rsid w:val="003D7A13"/>
    <w:rsid w:val="003E2B68"/>
    <w:rsid w:val="003F0DD7"/>
    <w:rsid w:val="003F7408"/>
    <w:rsid w:val="00410EAA"/>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5A39"/>
    <w:rsid w:val="00560B36"/>
    <w:rsid w:val="00565264"/>
    <w:rsid w:val="00565333"/>
    <w:rsid w:val="00565D21"/>
    <w:rsid w:val="00571632"/>
    <w:rsid w:val="00572135"/>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95445"/>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1659"/>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0CD0"/>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0A2E"/>
    <w:rsid w:val="00852579"/>
    <w:rsid w:val="00853910"/>
    <w:rsid w:val="008736BE"/>
    <w:rsid w:val="00876237"/>
    <w:rsid w:val="0088151C"/>
    <w:rsid w:val="008817AB"/>
    <w:rsid w:val="00884CF0"/>
    <w:rsid w:val="00891010"/>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8CC"/>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B6205"/>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57104"/>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3602"/>
    <w:rsid w:val="00D44A6A"/>
    <w:rsid w:val="00D47915"/>
    <w:rsid w:val="00D639A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B34"/>
    <w:rsid w:val="00E63D8B"/>
    <w:rsid w:val="00E675A1"/>
    <w:rsid w:val="00E75B0B"/>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17EF"/>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BB6205"/>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BB6205"/>
    <w:pPr>
      <w:outlineLvl w:val="1"/>
    </w:pPr>
  </w:style>
  <w:style w:type="paragraph" w:styleId="Heading3">
    <w:name w:val="heading 3"/>
    <w:aliases w:val="Numbered - 3"/>
    <w:basedOn w:val="Heading2"/>
    <w:next w:val="Normal"/>
    <w:qFormat/>
    <w:rsid w:val="00BB6205"/>
    <w:pPr>
      <w:keepNext w:val="0"/>
      <w:keepLines w:val="0"/>
      <w:spacing w:before="0" w:after="0"/>
      <w:outlineLvl w:val="2"/>
    </w:pPr>
    <w:rPr>
      <w:b w:val="0"/>
    </w:rPr>
  </w:style>
  <w:style w:type="paragraph" w:styleId="Heading4">
    <w:name w:val="heading 4"/>
    <w:aliases w:val="Numbered - 4"/>
    <w:basedOn w:val="Heading3"/>
    <w:next w:val="Normal"/>
    <w:qFormat/>
    <w:rsid w:val="00BB6205"/>
    <w:pPr>
      <w:outlineLvl w:val="3"/>
    </w:pPr>
  </w:style>
  <w:style w:type="paragraph" w:styleId="Heading5">
    <w:name w:val="heading 5"/>
    <w:aliases w:val="Numbered - 5"/>
    <w:basedOn w:val="Heading4"/>
    <w:next w:val="Normal"/>
    <w:qFormat/>
    <w:rsid w:val="00BB6205"/>
    <w:pPr>
      <w:outlineLvl w:val="4"/>
    </w:pPr>
  </w:style>
  <w:style w:type="paragraph" w:styleId="Heading6">
    <w:name w:val="heading 6"/>
    <w:aliases w:val="Numbered - 6"/>
    <w:basedOn w:val="Heading5"/>
    <w:next w:val="Normal"/>
    <w:qFormat/>
    <w:rsid w:val="00BB6205"/>
    <w:pPr>
      <w:outlineLvl w:val="5"/>
    </w:pPr>
  </w:style>
  <w:style w:type="paragraph" w:styleId="Heading7">
    <w:name w:val="heading 7"/>
    <w:aliases w:val="Numbered - 7"/>
    <w:basedOn w:val="Heading6"/>
    <w:next w:val="Normal"/>
    <w:qFormat/>
    <w:rsid w:val="00BB6205"/>
    <w:pPr>
      <w:outlineLvl w:val="6"/>
    </w:pPr>
  </w:style>
  <w:style w:type="paragraph" w:styleId="Heading8">
    <w:name w:val="heading 8"/>
    <w:aliases w:val="Numbered - 8"/>
    <w:basedOn w:val="Heading7"/>
    <w:next w:val="Normal"/>
    <w:qFormat/>
    <w:rsid w:val="00BB6205"/>
    <w:pPr>
      <w:outlineLvl w:val="7"/>
    </w:pPr>
  </w:style>
  <w:style w:type="paragraph" w:styleId="Heading9">
    <w:name w:val="heading 9"/>
    <w:aliases w:val="Numbered - 9"/>
    <w:basedOn w:val="Heading8"/>
    <w:next w:val="Normal"/>
    <w:qFormat/>
    <w:rsid w:val="00BB62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6205"/>
  </w:style>
  <w:style w:type="paragraph" w:styleId="BodyTextIndent">
    <w:name w:val="Body Text Indent"/>
    <w:basedOn w:val="Normal"/>
    <w:rsid w:val="00BB6205"/>
    <w:pPr>
      <w:ind w:left="288"/>
    </w:pPr>
  </w:style>
  <w:style w:type="paragraph" w:customStyle="1" w:styleId="DfESBullets">
    <w:name w:val="DfESBullets"/>
    <w:basedOn w:val="Normal"/>
    <w:rsid w:val="00BB6205"/>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rsid w:val="00BB6205"/>
    <w:pPr>
      <w:tabs>
        <w:tab w:val="center" w:pos="4153"/>
        <w:tab w:val="right" w:pos="8306"/>
      </w:tabs>
    </w:pPr>
  </w:style>
  <w:style w:type="paragraph" w:styleId="Header">
    <w:name w:val="header"/>
    <w:basedOn w:val="Normal"/>
    <w:rsid w:val="00BB6205"/>
    <w:pPr>
      <w:tabs>
        <w:tab w:val="center" w:pos="4153"/>
        <w:tab w:val="right" w:pos="8306"/>
      </w:tabs>
    </w:pPr>
  </w:style>
  <w:style w:type="paragraph" w:customStyle="1" w:styleId="Heading">
    <w:name w:val="Heading"/>
    <w:basedOn w:val="Normal"/>
    <w:next w:val="Normal"/>
    <w:rsid w:val="00BB6205"/>
    <w:pPr>
      <w:keepNext/>
      <w:keepLines/>
      <w:spacing w:before="240" w:after="240"/>
      <w:ind w:left="-720"/>
    </w:pPr>
    <w:rPr>
      <w:b/>
    </w:rPr>
  </w:style>
  <w:style w:type="paragraph" w:customStyle="1" w:styleId="MinuteTop">
    <w:name w:val="Minute Top"/>
    <w:basedOn w:val="Normal"/>
    <w:rsid w:val="00BB6205"/>
    <w:pPr>
      <w:tabs>
        <w:tab w:val="left" w:pos="4680"/>
        <w:tab w:val="left" w:pos="5587"/>
      </w:tabs>
    </w:pPr>
  </w:style>
  <w:style w:type="paragraph" w:customStyle="1" w:styleId="Numbered">
    <w:name w:val="Numbered"/>
    <w:basedOn w:val="Normal"/>
    <w:rsid w:val="00BB6205"/>
    <w:pPr>
      <w:spacing w:after="240"/>
    </w:pPr>
  </w:style>
  <w:style w:type="character" w:styleId="PageNumber">
    <w:name w:val="page number"/>
    <w:basedOn w:val="DefaultParagraphFont"/>
    <w:rsid w:val="00BB6205"/>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rsid w:val="00BB6205"/>
    <w:pPr>
      <w:spacing w:before="0"/>
    </w:pPr>
  </w:style>
  <w:style w:type="paragraph" w:styleId="Subtitle">
    <w:name w:val="Subtitle"/>
    <w:basedOn w:val="Normal"/>
    <w:qFormat/>
    <w:rsid w:val="00BB6205"/>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uiPriority w:val="39"/>
    <w:rsid w:val="00DA4A74"/>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UnresolvedMention">
    <w:name w:val="Unresolved Mention"/>
    <w:basedOn w:val="DefaultParagraphFont"/>
    <w:uiPriority w:val="99"/>
    <w:semiHidden/>
    <w:unhideWhenUsed/>
    <w:rsid w:val="00A778CC"/>
    <w:rPr>
      <w:color w:val="605E5C"/>
      <w:shd w:val="clear" w:color="auto" w:fill="E1DFDD"/>
    </w:rPr>
  </w:style>
  <w:style w:type="paragraph" w:customStyle="1" w:styleId="TableParagraph">
    <w:name w:val="Table Paragraph"/>
    <w:basedOn w:val="Normal"/>
    <w:uiPriority w:val="1"/>
    <w:qFormat/>
    <w:rsid w:val="00891010"/>
    <w:pPr>
      <w:overflowPunct/>
      <w:adjustRightInd/>
      <w:textAlignment w:val="auto"/>
    </w:pPr>
    <w:rPr>
      <w:rFonts w:ascii="Century Gothic" w:eastAsia="Century Gothic" w:hAnsi="Century Gothic" w:cs="Century Gothic"/>
      <w:sz w:val="22"/>
      <w:szCs w:val="22"/>
      <w:lang w:val="en-US" w:bidi="en-US"/>
    </w:rPr>
  </w:style>
</w:styles>
</file>

<file path=word/webSettings.xml><?xml version="1.0" encoding="utf-8"?>
<w:webSettings xmlns:r="http://schemas.openxmlformats.org/officeDocument/2006/relationships" xmlns:w="http://schemas.openxmlformats.org/wordprocessingml/2006/main">
  <w:divs>
    <w:div w:id="90249652">
      <w:bodyDiv w:val="1"/>
      <w:marLeft w:val="0"/>
      <w:marRight w:val="0"/>
      <w:marTop w:val="0"/>
      <w:marBottom w:val="0"/>
      <w:divBdr>
        <w:top w:val="none" w:sz="0" w:space="0" w:color="auto"/>
        <w:left w:val="none" w:sz="0" w:space="0" w:color="auto"/>
        <w:bottom w:val="none" w:sz="0" w:space="0" w:color="auto"/>
        <w:right w:val="none" w:sz="0" w:space="0" w:color="auto"/>
      </w:divBdr>
    </w:div>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408429028">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0750">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78641465">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igs.haring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0AA7-C29F-46E9-AA62-A439A69D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FINAL_Employee Privacy Notice Maintained Schools</vt:lpstr>
    </vt:vector>
  </TitlesOfParts>
  <LinksUpToDate>false</LinksUpToDate>
  <CharactersWithSpaces>8051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FINAL_Employee Privacy Notice Maintained Schools</dc:title>
  <dc:creator/>
  <cp:keywords>Haringey Council - Draft- Privacy notice</cp:keywords>
  <cp:lastModifiedBy/>
  <cp:revision>1</cp:revision>
  <dcterms:created xsi:type="dcterms:W3CDTF">2019-05-07T08:26:00Z</dcterms:created>
  <dcterms:modified xsi:type="dcterms:W3CDTF">2019-05-07T08:26:00Z</dcterms:modified>
</cp:coreProperties>
</file>